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47486-2024 i Växjö kommun</w:t>
      </w:r>
    </w:p>
    <w:p>
      <w:r>
        <w:t>Detta dokument behandlar höga naturvärden i avverkningsanmälan A 47486-2024 i Växjö kommun som inkom 2024-10-22 och omfattar 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Inom 7 meter från avverkningsanmälan har följande 2 naturvårdsarter hittats: pärluggla (EN, T, §4) och nattskärra (T, §4). Av dessa är 1 rödlistade. För rödlistade arter har rödlistekategorin angivits inom parentes.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660612"/>
            <wp:docPr id="1" name="Picture 1"/>
            <wp:cNvGraphicFramePr>
              <a:graphicFrameLocks noChangeAspect="1"/>
            </wp:cNvGraphicFramePr>
            <a:graphic>
              <a:graphicData uri="http://schemas.openxmlformats.org/drawingml/2006/picture">
                <pic:pic>
                  <pic:nvPicPr>
                    <pic:cNvPr id="0" name="A 47486-2024 karta.png"/>
                    <pic:cNvPicPr/>
                  </pic:nvPicPr>
                  <pic:blipFill>
                    <a:blip r:embed="rId16"/>
                    <a:stretch>
                      <a:fillRect/>
                    </a:stretch>
                  </pic:blipFill>
                  <pic:spPr>
                    <a:xfrm>
                      <a:off x="0" y="0"/>
                      <a:ext cx="5486400" cy="4660612"/>
                    </a:xfrm>
                    <a:prstGeom prst="rect"/>
                  </pic:spPr>
                </pic:pic>
              </a:graphicData>
            </a:graphic>
          </wp:inline>
        </w:drawing>
      </w:r>
    </w:p>
    <w:p>
      <w:pPr>
        <w:pStyle w:val="Caption"/>
        <w:spacing w:after="240"/>
      </w:pPr>
      <w:r>
        <w:t>Figur 1. Fyndplatser för naturvårdsarter inom 7 meter från avverkningsanmälan (röd linje). Markörer utan svart kant är placerade på fyndplatsen. Markörer med svart kant är placerade vid sidan av fyndplatsen och har ett svart streck som visar fyndplatsens exakta position. Kartans mittpunktskoordinat är N 6310397, E 506645 i SWEREF 99 TM.</w:t>
      </w:r>
    </w:p>
    <w:p>
      <w:pPr>
        <w:pStyle w:val="Heading2"/>
      </w:pPr>
      <w:r>
        <w:t>Fridlysta arter</w:t>
      </w:r>
    </w:p>
    <w:p>
      <w:r>
        <w:t>Följande fridlysta arter har sina livsmiljöer och växtplatser i den avverkningsanmälda skogen: pärluggla (EN, T, §4) och nattskärra (T,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r>
        <w:rPr>
          <w:b/>
        </w:rPr>
        <w:t>Pärluggla (EN, §4)</w:t>
      </w:r>
      <w:r>
        <w:t xml:space="preserve"> är en starkt hotad art som omfattas av bilaga 1 EU:s fågeldirektiv. Beståndet har gradvis minskat sedan början av 1980-talet och efter 2010 tyder data från Svensk Fågeltaxering på att beståndet i det närmaste helt kraschat. Minskningstakten har uppgått till 60 (40–80) % under de senaste 15 åren. Pärlugglan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 är typisk art för </w:t>
      </w:r>
      <w:r>
        <w:rPr>
          <w:i/>
        </w:rPr>
        <w:t>9010 Västlig taiga</w:t>
      </w:r>
      <w:r>
        <w:t xml:space="preserve">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Pärluggla – ekologi samt krav på livsmiljön</w:t>
      </w:r>
    </w:p>
    <w:p>
      <w:r>
        <w:t xml:space="preserve">Pärluggla (EN, §4) är en starkt hotad art som är typisk art för </w:t>
      </w:r>
      <w:r>
        <w:rPr>
          <w:i/>
        </w:rPr>
        <w:t>9010 Västlig taiga</w:t>
      </w:r>
      <w:r>
        <w:t xml:space="preserve"> och omfattas av bilaga 1 EU:s fågeldirektiv. Beståndet har gradvis minskat sedan början av 1980-talet och efter 2010 tyder data från Svensk Fågeltaxering på att beståndet i det närmaste helt kraschat. Minskningstakten har uppgått till 60 (40–80) % under de senaste 15 åren och överstiger gränsvärdet för starkt hotad (EN) (SLU Artdatabanken, 2026).</w:t>
      </w:r>
    </w:p>
    <w:p>
      <w:r>
        <w:t>Pärlugglan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Hemområdet är i storleksordningen 200–500 hektar, men storleken varierar kraftigt beroende på hur mycket föda det finns. Under dåliga gnagarår kan pärlugglan jaga upp till 4 km från boet medan den under bra år ofta håller sig inom 1 km (SLU Artdatabanken, 2026).</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2026. </w:t>
      </w:r>
      <w:r>
        <w:rPr>
          <w:i/>
        </w:rPr>
        <w:t xml:space="preserve">Artfaktablad. Naturvård – artfakta. </w:t>
      </w:r>
      <w:r>
        <w:t>SLU Artdatabanken, Uppsala.</w:t>
      </w:r>
    </w:p>
    <w:p>
      <w:r>
        <w:t xml:space="preserve">Skogsstyrelsen, 2016. </w:t>
      </w:r>
      <w:r>
        <w:rPr>
          <w:i/>
        </w:rPr>
        <w:t>Vägledning för hänsyn till pärluggla.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