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44813-2026 i Växjö kommun</w:t>
      </w:r>
    </w:p>
    <w:p>
      <w:r>
        <w:t>Denna tillsynsbegäran behandlar höga naturvärden i avverkningsanmälan A 44813-2026 i Växjö kommun som inkom 2026-10-28 och omfattar 1,3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44813-2026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6318949, E 484661 i SWEREF 99 TM.</w:t>
      </w:r>
    </w:p>
    <w:p>
      <w:r>
        <w:t>Inom 20 meter från avverkningsanmälan finns fynd av 4 naturvårdsarter, varav 2 är rödlistade, 4 är fridlysta och 1 är typisk (T): grönfink (VU, §4), gulsparv (NT, §4), spillkråka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