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218-2023 i Växjö kommun</w:t>
      </w:r>
    </w:p>
    <w:p>
      <w:r>
        <w:t>Denna tillsynsbegäran behandlar höga naturvärden i samrådsanmälan S 218-2023 i Växjö kommun som inkom 2023-01-24 och omfattar 2,0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S 218-2023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6324865, E 487928 i SWEREF 99 TM.</w:t>
      </w:r>
    </w:p>
    <w:p>
      <w:r>
        <w:t>I samrådsanmälan finns fynd av 1 naturvårdsarter, varav 1 är rödlistad: sydlig kantmusseron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Sydlig kantmusseron (NT) </w:t>
      </w:r>
      <w:r>
        <w:t>bildar mykorrhiza med ek och bok, troligen även med hassel och avenbok, i luckig ädellövskog, hagmark och löväng på kalkrik mark. Den totala populationen i landet är liten och en fortgående minskning på nationell nivå bedöms pågå, huvudsakligen p.g.a. upphörd hävd med igenväxning och förtätning av ädellövsmiljöer som följd. Ekhagar och lövlundar med ek bör bevaras i oförändrat skick, t.ex. genom fortsatt extensiv betesdrift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