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649-2023 i Växjö kommun</w:t>
      </w:r>
    </w:p>
    <w:p>
      <w:r>
        <w:t>Denna tillsynsbegäran behandlar höga naturvärden i samrådsanmälan S 649-2023 i Växjö kommun som inkom 2023-02-17 och omfattar 632,9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649-2023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6313907, E 509558 i SWEREF 99 TM.</w:t>
      </w:r>
    </w:p>
    <w:p>
      <w:r>
        <w:t>I och inom 22 meter från samrådsanmälan finns fynd av 21 naturvårdsarter, varav 11 är rödlistade, 13 är fridlysta, 5 är typiska (T) och 1 är signalart (S): hornuggla (EN, §4), brunfläckig pärlemorfjäril (VU), igelkott (VU), slåttergubbe (VU), järnsparv (NT, §4), mindre tåtelsmygare (NT), motaggsvamp (NT, T), skogshare (NT), sparvuggla (NT, §4), talltita (NT, §4), älg (NT), tibast (S, T), mattlummer (T, §9), nattskärra (T, §4), tjäder (T, §4), grönsiska (§4), kråka (§4), kungsfågel (§4), svartvit flugsnappare (§4), utter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tibast (S, T), mattlummer (T, §9), nattskärra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