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4723-2019 i Växjö kommun</w:t>
      </w:r>
    </w:p>
    <w:p>
      <w:r>
        <w:t>Detta dokument behandlar höga naturvärden i avverkningsanmälan A 4723-2019 i Växjö kommun. Denna avverkningsanmälan inkom 2019-01-14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hussvala (VU, §4), havsörn (NT, §4), spillkråka (NT, §4), utter (NT, §4a) och nötkråka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723-2019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6301721, E 485379 i SWEREF 99 TM.</w:t>
      </w:r>
    </w:p>
    <w:p>
      <w:pPr>
        <w:pStyle w:val="Heading1"/>
      </w:pPr>
      <w:r>
        <w:t>Fridlysta arter</w:t>
      </w:r>
    </w:p>
    <w:p>
      <w:r>
        <w:t>Följande fridlysta arter har sina livsmiljöer och växtplatser i den avverkningsanmälda skogen: hussvala (VU, §4), havsörn (NT, §4), spillkråka (NT, §4), utter (NT, §4a) och nötkråka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