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15558-2023 i Växjö kommun</w:t>
      </w:r>
    </w:p>
    <w:p>
      <w:r>
        <w:t>Detta dokument behandlar höga naturvärden i avverkningsanmälan A 15558-2023 i Växjö kommun. Denna avverkningsanmälan inkom 2023-04-04 och omfattar 7,7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gråtrut (VU, §4), drillsnäppa (NT, §4), duvhök (NT, §4), mindre bastardsvärmare (NT), sexfläckig bastardsvärmare (NT), spillkråka (NT, §4), talltita (NT, §4), scharlakansskål (S), toppvaxskivling (S) och vanlig groda (§6).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62538"/>
            <wp:docPr id="1" name="Picture 1"/>
            <wp:cNvGraphicFramePr>
              <a:graphicFrameLocks noChangeAspect="1"/>
            </wp:cNvGraphicFramePr>
            <a:graphic>
              <a:graphicData uri="http://schemas.openxmlformats.org/drawingml/2006/picture">
                <pic:pic>
                  <pic:nvPicPr>
                    <pic:cNvPr id="0" name="A 15558-2023 karta.png"/>
                    <pic:cNvPicPr/>
                  </pic:nvPicPr>
                  <pic:blipFill>
                    <a:blip r:embed="rId16"/>
                    <a:stretch>
                      <a:fillRect/>
                    </a:stretch>
                  </pic:blipFill>
                  <pic:spPr>
                    <a:xfrm>
                      <a:off x="0" y="0"/>
                      <a:ext cx="5486400" cy="39625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6286678, E 504966 i SWEREF 99 TM.</w:t>
      </w:r>
    </w:p>
    <w:p>
      <w:pPr>
        <w:pStyle w:val="Heading1"/>
      </w:pPr>
      <w:r>
        <w:t>Fridlysta arter</w:t>
      </w:r>
    </w:p>
    <w:p>
      <w:r>
        <w:t>Följande fridlysta arter har sina livsmiljöer och växtplatser i den avverkningsanmälda skogen: gråtrut (VU, §4), drillsnäppa (NT, §4), duvhök (NT, §4), spillkråka (NT, §4), talltita (NT, §4) och vanlig groda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Duvhök (NT, §4)</w:t>
      </w:r>
      <w:r>
        <w:t xml:space="preserve"> är rödlistad som nära hotad (NT) och har minskat med 22 (0–48) % under de senaste 18 åren. Minskningstakten för den svenska populationen bedöms vara nära gränsvärdet för Sårbar (VU). (A2bc). (SLU Artdatabanken, 2021). Duvhöken jagar helst inne i äldre skog och missgynnas av stora hyggen och täta planteringar. De gamla fåglarna är i huvudsak stationära i sina revir (Skogsstyrelsen, 2016). Duvhöken är starkt bunden till skogsmark och boet läggs inne i tät, oftast äldre skog. Kantzoner mot öppen mark undviks och duvhöken är därför känsligare för slutavverkning än flera andra rovfåglar. Duvhöken är beroende av insynsskyddade boplatser. Friställande av boträd eller avverkning så att boplatsen blir exponerad mot öppen mark, medför att platsen överges (Skogsstyrelsen, 2016). Eftersom duvhöken helst häckar i gammal skog, är dess häckningsplatser i princip alltid mer eller mindre hotade av skogsbruk och avverkningar (SLU Artdatabanken, 2021).</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(NT) och har minskat med 22 (0–48) % under de senaste 18 åren. Minskningstakten för den svenska populationen bedöms vara nära gränsvärdet för Sårbar (VU). (A2bc). (SLU Artdatabanken, 2021).</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2021).</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2021).</w:t>
      </w:r>
    </w:p>
    <w:p>
      <w:r>
        <w:t>Minskningstakten har uppgått till 22 (0–48) % under de senaste 18 åren. Bedömningen baseras på ett för arten lämpligt abundansindex och minskad geografisk utbredning och/eller försämrad habitatkvalitet (allt yngre och tätare skogar vilket försvårar för boplacering samt försämrar jaktmöjligheterna). Minskningstakten för den svenska populationen bedöms vara nära gränsvärdet för Sårbar (VU). (A2bc).</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