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12644-2024 i Växjö kommun</w:t>
      </w:r>
    </w:p>
    <w:p>
      <w:r>
        <w:t>Denna tillsynsbegäran behandlar höga naturvärden i avverkningsanmälan A 12644-2024 i Växjö kommun som inkom 2024-04-02 och omfattar 0,9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12644-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6296728, E 490742 i SWEREF 99 TM.</w:t>
      </w:r>
    </w:p>
    <w:p>
      <w:r>
        <w:t>I och inom 21 meter från avverkningsanmälan finns fynd av 7 naturvårdsarter, varav 4 är fridlysta, 1 är typisk (T) och 3 är signalarter (S): stubbspretmossa (S, T), västlig hakmossa (S), vågbandad barkbock (S), gröngöling (§4), kråka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