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23200-2026 i Ljungby kommun</w:t>
      </w:r>
    </w:p>
    <w:p>
      <w:r>
        <w:t>Detta klagomål behandlar höga naturvärden i avverkningsanmälan A 23200-2026 i Ljungby kommun som inkom 2026-05-19 och omfattar 3,1 ha.</w:t>
      </w:r>
    </w:p>
    <w:p>
      <w:pPr>
        <w:pStyle w:val="Caption"/>
      </w:pPr>
      <w:r>
        <w:drawing>
          <wp:inline xmlns:a="http://schemas.openxmlformats.org/drawingml/2006/main" xmlns:pic="http://schemas.openxmlformats.org/drawingml/2006/picture">
            <wp:extent cx="5486400" cy="4381579"/>
            <wp:docPr id="1" name="Picture 1"/>
            <wp:cNvGraphicFramePr>
              <a:graphicFrameLocks noChangeAspect="1"/>
            </wp:cNvGraphicFramePr>
            <a:graphic>
              <a:graphicData uri="http://schemas.openxmlformats.org/drawingml/2006/picture">
                <pic:pic>
                  <pic:nvPicPr>
                    <pic:cNvPr id="0" name="A 23200-2026 karta.png"/>
                    <pic:cNvPicPr/>
                  </pic:nvPicPr>
                  <pic:blipFill>
                    <a:blip r:embed="rId16"/>
                    <a:stretch>
                      <a:fillRect/>
                    </a:stretch>
                  </pic:blipFill>
                  <pic:spPr>
                    <a:xfrm>
                      <a:off x="0" y="0"/>
                      <a:ext cx="5486400" cy="438157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6286847, E 417603 i SWEREF 99 TM.</w:t>
      </w:r>
    </w:p>
    <w:p>
      <w:r>
        <w:t>I avverkningsanmälan finns fynd av 3 naturvårdsarter, varav 2 är fridlysta och 1 är signalart (S): brandticka (S), dvärgpipistrell (§4a) och vattenfladdermus (§4a).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Brandticka </w:t>
      </w:r>
      <w:r>
        <w:t>förekommer främst i olikåldrig fuktig granskog med mycket död ved, ofta i kärrkanter eller vid bäckar på lokaler med hög luftfuktighet. Växer huvudsakligen på grova granlågor, någon enstaka gång på tall, asp eller björk, och verkar knuten till ved som först rötats av klibbticka. Arten var tidigare rödlistad men en sentida ökning, bland annat i barkborreangripna granplanteringar i sydligaste Skandinavien har förändrat hotbilden. Populationen i landet kan påverkas negativt av kalavverkning och ett skogsbruk som innebär att mängden grova granlågor minskar. Även dikning och gallring som leder till ett torrare mikroklimat på växtplatserna kan ha negativ inverkan. För att säkerställa en gynnsam bevarandestatus på sikt bör områdesskydd av artens livsmiljöer upprättas på ett sätt som tryggar livskraftiga populationer på landskapsnivå. Vid skogsbruk bör grov död ved och skyddszoner vid kärr och vattendrag lämnas, och träd tillåtas åldras och dö på ett sätt som skapar kontinuerlig tillgång på livsmiljöer (SLU Artdatabanken, 2025).</w:t>
      </w:r>
    </w:p>
    <w:p>
      <w:r>
        <w:rPr>
          <w:b/>
        </w:rPr>
        <w:t>Dvärgpipistrell (§4a)</w:t>
      </w:r>
      <w:r>
        <w:t xml:space="preserve"> omfattas av bilaga 4 EU:s art- och habitatdirektiv vilket innebär ett strikt skydd där arten och dess livsmiljöer ska bevaras.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rPr>
          <w:b/>
        </w:rPr>
        <w:t>Vattenfladdermus (§4a)</w:t>
      </w:r>
      <w:r>
        <w:t xml:space="preserve"> omfattas av bilaga 4 EU:s art- och habitatdirektiv vilket innebär ett strikt skydd där arten och dess livsmiljöer ska bevaras. Arten förekommer mest vid vatten, vid både sjöar och vattendrag där den födosöker antingen tätt ovanför vattenytan eller i strandskog. Kolonin kan ligga ganska långt från vatten och den kan ibland jaga i skog flera kilometer från vatten. För vattenfladdermusen bör framförallt åtgärder planeras och vidtas i strandnära områden. Sumpskog och hålträd behöver bevaras och återskapas. Gamla träd med grov bark, skador, håligheter eller döda delar bör lämnas och yngre träd (efterträdare) tillåtas finnas kvar och åldras för att säkra framtida förekomst av lämpliga yngelmiljöer. Övervintringsplatser måste skyddas effektivt från störningar. Vattenfladdermus är typisk art för </w:t>
      </w:r>
      <w:r>
        <w:rPr>
          <w:i/>
        </w:rPr>
        <w:t>8310 Grottor</w:t>
      </w:r>
      <w:r>
        <w:t xml:space="preserve"> och </w:t>
      </w:r>
      <w:r>
        <w:rPr>
          <w:i/>
        </w:rPr>
        <w:t>8330 Havsgrottor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Dvärgpipistrell – ekologi samt krav på livsmiljön</w:t>
      </w:r>
    </w:p>
    <w:p>
      <w:r>
        <w:t>Dvärgpipistrell (§4a) omfattas av bilaga 4 EU:s art- och habitatdirektiv vilket innebär ett strikt skydd för arten och dess livsmiljöer.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dvärgpipistrell</w:t>
      </w:r>
    </w:p>
    <w:p>
      <w:r>
        <w:t xml:space="preserve">Skogsstyrelsen, 2016. </w:t>
      </w:r>
      <w:r>
        <w:rPr>
          <w:i/>
        </w:rPr>
        <w:t xml:space="preserve">Vägledning för hänsyn till pipistrell. </w:t>
      </w:r>
      <w:r>
        <w:t>Vägledningar och kunskapsstöd artskydd - Skogsstyrelsen</w:t>
      </w:r>
    </w:p>
    <w:p>
      <w:r>
        <w:t>SLU Artdatabanken, 2024.</w:t>
      </w:r>
      <w:r>
        <w:rPr>
          <w:i/>
        </w:rPr>
        <w:t xml:space="preserve">  Artfakta: dvärgpipistrell (Pipistrellus pygmaeus). </w:t>
      </w:r>
      <w:r>
        <w:t>https://artfakta.se/taxa/205995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