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1188-2026 i Ljungby kommun</w:t>
      </w:r>
    </w:p>
    <w:p>
      <w:r>
        <w:t>Denna tillsynsbegäran behandlar höga naturvärden i samrådsanmälan S 1188-2026 i Ljungby kommun som inkom 2026-04-27 och omfattar 1,9 ha.</w:t>
      </w:r>
    </w:p>
    <w:p>
      <w:pPr>
        <w:pStyle w:val="Caption"/>
      </w:pPr>
      <w:r>
        <w:drawing>
          <wp:inline xmlns:a="http://schemas.openxmlformats.org/drawingml/2006/main" xmlns:pic="http://schemas.openxmlformats.org/drawingml/2006/picture">
            <wp:extent cx="5486400" cy="4987636"/>
            <wp:docPr id="1" name="Picture 1"/>
            <wp:cNvGraphicFramePr>
              <a:graphicFrameLocks noChangeAspect="1"/>
            </wp:cNvGraphicFramePr>
            <a:graphic>
              <a:graphicData uri="http://schemas.openxmlformats.org/drawingml/2006/picture">
                <pic:pic>
                  <pic:nvPicPr>
                    <pic:cNvPr id="0" name="S 1188-2026 karta.png"/>
                    <pic:cNvPicPr/>
                  </pic:nvPicPr>
                  <pic:blipFill>
                    <a:blip r:embed="rId16"/>
                    <a:stretch>
                      <a:fillRect/>
                    </a:stretch>
                  </pic:blipFill>
                  <pic:spPr>
                    <a:xfrm>
                      <a:off x="0" y="0"/>
                      <a:ext cx="5486400" cy="4987636"/>
                    </a:xfrm>
                    <a:prstGeom prst="rect"/>
                  </pic:spPr>
                </pic:pic>
              </a:graphicData>
            </a:graphic>
          </wp:inline>
        </w:drawing>
      </w:r>
    </w:p>
    <w:p>
      <w:pPr>
        <w:pStyle w:val="Caption"/>
        <w:spacing w:after="240"/>
      </w:pPr>
      <w:r>
        <w:t>Figur 1. Fyndplatser för naturvårdsarter i och inom 11 meter från samrådsanmälan. Markörer utan svart kant är placerade på fyndplatsen. Markörer med svart kant är placerade vid sidan av fyndplatsen och har ett svart streck som visar fyndplatsens exakta position. Kartans mittpunktskoordinat är N 6320602, E 443125 i SWEREF 99 TM.</w:t>
      </w:r>
    </w:p>
    <w:p>
      <w:r>
        <w:t>I och inom 11 meter från samrådsanmälan finns fynd av 6 naturvårdsarter, varav 2 är rödlistade, 6 är typiska (T) och 4 är signalarter (S): bokkantlav (NT, T), bokvårtlav (NT, T), havstulpanlav (S, T), klippfrullania (S, T), platt fjädermossa (S, T) och trädporella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Bokkantlav (NT)</w:t>
      </w:r>
      <w:r>
        <w:t xml:space="preserve"> är en bra signalart för gammal bokskog med höga naturvärden där det normalt finns många andra ovanliga och rödlistade arter. Den förekommer huvudsakligen i gammal skogsmark där den föredrar halvöppna till skuggiga miljöer med hög luftfuktighet. Spara äldre bokbestånd i områden med lång kontinuitet av bok. Bokkantlav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Bokvårtlav (NT)</w:t>
      </w:r>
      <w:r>
        <w:t xml:space="preserve"> växer på barken av gamla bokar samt avenbok och är en bra signalart för skogsbestånd med höga naturvärden. Gamla bokskogar där laven förekommer i särskilt rikliga bestånd bör bevaras. Bokvårtlav är typisk art för </w:t>
      </w:r>
      <w:r>
        <w:rPr>
          <w:i/>
        </w:rPr>
        <w:t>9110 Näringsfattig bokskog, 9130 Näringsrik bokskog</w:t>
      </w:r>
      <w:r>
        <w:t xml:space="preserve"> och </w:t>
      </w:r>
      <w:r>
        <w:rPr>
          <w:i/>
        </w:rPr>
        <w:t>9160 Näringsrik ekskog</w:t>
      </w:r>
      <w:r>
        <w:t xml:space="preserve"> (SLU Artdatabanken, 2024; Nitare &amp; Skogsstyrelsen, 2019).</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 xml:space="preserve">Trädporella </w:t>
      </w:r>
      <w:r>
        <w:t xml:space="preserve">är i stora delar av landet en utmärkt signal på skog med höga naturvärden och ofta påträffas många ovanliga och rödlistade arter på dess lokaler. Den växer huvudsakligen på grova ädellövträd i skuggiga och fuktiga miljöer, främst i slutna ädellövskogar och bergbranter med inslag av kalk- eller grönsten. Trädporella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bokkantlav (NT, T), bokvårtlav (NT, T), havstulpanlav (S, T), klippfrullania (S, T), platt fjädermossa (S, T) och trädporella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