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43831-2023 i Ljungby kommun</w:t>
      </w:r>
    </w:p>
    <w:p>
      <w:r>
        <w:t>Detta dokument behandlar höga naturvärden i avverkningsanmälan A 43831-2023 i Ljungby kommun. Denna avverkningsanmälan inkom 2023-09-18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cypresslummer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3831-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6288467, E 425014 i SWEREF 99 TM.</w:t>
      </w:r>
    </w:p>
    <w:p>
      <w:pPr>
        <w:pStyle w:val="Heading1"/>
      </w:pPr>
      <w:r>
        <w:t>Fridlysta arter</w:t>
      </w:r>
    </w:p>
    <w:p>
      <w:r>
        <w:t>Följande fridlysta arter har sina livsmiljöer och växtplatser i den avverkningsanmälda skogen: cypresslummer (VU, §8).</w:t>
      </w:r>
    </w:p>
    <w:p>
      <w:r>
        <w:rPr>
          <w:b/>
        </w:rPr>
        <w:t>Cypresslummer (VU, §8)</w:t>
      </w:r>
      <w:r>
        <w:t xml:space="preserve"> är fridlyst enligt 8 § artskyddsförordningen och omfattas av EU:s art- och habitatdirektiv där dess bevarandestatus är dålig med negativ trend.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(SLU Artdatabanken, 2024; Nitare &amp; Skogsstyrelsen,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