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43831-2023 i Ljungby kommun</w:t>
      </w:r>
    </w:p>
    <w:p>
      <w:r>
        <w:t>Detta dokument behandlar höga naturvärden i avverkningsanmälan A 43831-2023 i Ljungby kommun. Denna avverkningsanmälan inkom 2023-09-18 och omfattar 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cypresslummer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48861"/>
            <wp:docPr id="1" name="Picture 1"/>
            <wp:cNvGraphicFramePr>
              <a:graphicFrameLocks noChangeAspect="1"/>
            </wp:cNvGraphicFramePr>
            <a:graphic>
              <a:graphicData uri="http://schemas.openxmlformats.org/drawingml/2006/picture">
                <pic:pic>
                  <pic:nvPicPr>
                    <pic:cNvPr id="0" name="A 43831-2023 karta.png"/>
                    <pic:cNvPicPr/>
                  </pic:nvPicPr>
                  <pic:blipFill>
                    <a:blip r:embed="rId16"/>
                    <a:stretch>
                      <a:fillRect/>
                    </a:stretch>
                  </pic:blipFill>
                  <pic:spPr>
                    <a:xfrm>
                      <a:off x="0" y="0"/>
                      <a:ext cx="5486400" cy="36488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6288467, E 425014 i SWEREF 99 TM.</w:t>
      </w:r>
    </w:p>
    <w:p>
      <w:pPr>
        <w:pStyle w:val="Heading1"/>
      </w:pPr>
      <w:r>
        <w:t>Fridlysta arter</w:t>
      </w:r>
    </w:p>
    <w:p>
      <w:r>
        <w:t>Följande fridlysta arter har sina livsmiljöer och växtplatser i den avverkningsanmälda skogen: cypresslummer (VU, §8).</w:t>
      </w:r>
    </w:p>
    <w:p>
      <w:r>
        <w:rPr>
          <w:b/>
        </w:rPr>
        <w:t>Cypresslummer (VU, §8)</w:t>
      </w:r>
      <w:r>
        <w:t xml:space="preserve"> är fridlyst enligt 8 § artskyddsförordningen och omfattas av EU:s art- och habitatdirektiv där dess bevarandestatus är dålig med negativ trend. Den kan hittas i sandig eller grusig, torr och öppen tallskog, ”tallmo”. Den behöver mycket ljus och är brandgynnad. Arten är placerad högst upp i Skogsstyrelsens värdepyramid för bedömning av skog med höga naturvärden och rödlistad som nära hotad (NT) på den europeiska rödlistan (SLU Artdatabanken, 2024; Nitare &amp; Skogsstyrelsen, 2019; IUCN, 2016).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