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29270-2023 i Ljungby kommun</w:t>
      </w:r>
    </w:p>
    <w:p>
      <w:r>
        <w:t>Detta dokument behandlar höga naturvärden i avverkningsanmälan A 29270-2023 i Ljungby kommun. Denna avverkningsanmälan inkom 2023-06-28 00:00:00 och omfattar 3,5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kricka (VU, §4), tofsvipa (VU, §4), buskskvätta (NT, §4), duvhök (NT, §4), skrattmås (NT, §4), bronshjon (S), järnsparv (§4), röd glada (§4) och trana (§4).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56490"/>
            <wp:docPr id="1" name="Picture 1"/>
            <wp:cNvGraphicFramePr>
              <a:graphicFrameLocks noChangeAspect="1"/>
            </wp:cNvGraphicFramePr>
            <a:graphic>
              <a:graphicData uri="http://schemas.openxmlformats.org/drawingml/2006/picture">
                <pic:pic>
                  <pic:nvPicPr>
                    <pic:cNvPr id="0" name="A 29270-2023 karta.png"/>
                    <pic:cNvPicPr/>
                  </pic:nvPicPr>
                  <pic:blipFill>
                    <a:blip r:embed="rId16"/>
                    <a:stretch>
                      <a:fillRect/>
                    </a:stretch>
                  </pic:blipFill>
                  <pic:spPr>
                    <a:xfrm>
                      <a:off x="0" y="0"/>
                      <a:ext cx="5486400" cy="62564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6302556, E 435032 i SWEREF 99 TM.</w:t>
      </w:r>
    </w:p>
    <w:p>
      <w:pPr>
        <w:pStyle w:val="Heading1"/>
      </w:pPr>
      <w:r>
        <w:t>Fridlysta arter</w:t>
      </w:r>
    </w:p>
    <w:p>
      <w:r>
        <w:t>Följande fridlysta arter har sina livsmiljöer och växtplatser i den avverkningsanmälda skogen: kricka (VU, §4), tofsvipa (VU, §4), buskskvätta (NT, §4), duvhök (NT, §4), skrattmås (NT, §4), järnsparv (§4), röd glada (§4) och trana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2025-08-19</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