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3853-2023 i Ljungby kommun</w:t>
      </w:r>
    </w:p>
    <w:p>
      <w:r>
        <w:t>Denna tillsynsbegäran behandlar höga naturvärden i samrådsanmälan S 3853-2023 i Ljungby kommun som inkom 2023-10-30 och omfattar 0,5 ha.</w:t>
      </w:r>
    </w:p>
    <w:p>
      <w:pPr>
        <w:pStyle w:val="Caption"/>
      </w:pPr>
      <w:r>
        <w:drawing>
          <wp:inline xmlns:a="http://schemas.openxmlformats.org/drawingml/2006/main" xmlns:pic="http://schemas.openxmlformats.org/drawingml/2006/picture">
            <wp:extent cx="5486400" cy="5190320"/>
            <wp:docPr id="1" name="Picture 1"/>
            <wp:cNvGraphicFramePr>
              <a:graphicFrameLocks noChangeAspect="1"/>
            </wp:cNvGraphicFramePr>
            <a:graphic>
              <a:graphicData uri="http://schemas.openxmlformats.org/drawingml/2006/picture">
                <pic:pic>
                  <pic:nvPicPr>
                    <pic:cNvPr id="0" name="S 3853-2023 karta.png"/>
                    <pic:cNvPicPr/>
                  </pic:nvPicPr>
                  <pic:blipFill>
                    <a:blip r:embed="rId16"/>
                    <a:stretch>
                      <a:fillRect/>
                    </a:stretch>
                  </pic:blipFill>
                  <pic:spPr>
                    <a:xfrm>
                      <a:off x="0" y="0"/>
                      <a:ext cx="5486400" cy="5190320"/>
                    </a:xfrm>
                    <a:prstGeom prst="rect"/>
                  </pic:spPr>
                </pic:pic>
              </a:graphicData>
            </a:graphic>
          </wp:inline>
        </w:drawing>
      </w:r>
    </w:p>
    <w:p>
      <w:pPr>
        <w:pStyle w:val="Caption"/>
        <w:spacing w:after="240"/>
      </w:pPr>
      <w:r>
        <w:t>Figur 1. Fyndplatser för naturvårdsarter i och inom 23 meter från samrådsanmälan. Markörer utan svart kant är placerade på fyndplatsen. Markörer med svart kant är placerade vid sidan av fyndplatsen och har ett svart streck som visar fyndplatsens exakta position. Kartans mittpunktskoordinat är N 6319083, E 436223 i SWEREF 99 TM.</w:t>
      </w:r>
    </w:p>
    <w:p>
      <w:r>
        <w:t>I och inom 23 meter från samrådsanmälan finns fynd av 4 naturvårdsarter, varav 1 är rödlistad, 3 är typiska (T) och 3 är signalarter (S): skogsalm (EN), guldlockmossa (S, T), platt fjädermossa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Guldlockmossa</w:t>
      </w:r>
      <w:r>
        <w:t xml:space="preserve"> växer på solexponerade, basiska klippor och block samt på skrovlig bark vid basen av ädellövträd med rik bark, ofta på gamla ekar, bokar och andra ädellövträd som står öppet i bryn. Särskilt högt signalvärde har den i norra Sverige där den sällsynt kan påträffas i sydväxtberg på klippor med basiska bergarter. Guldlockmossa är typisk art för </w:t>
      </w:r>
      <w:r>
        <w:rPr>
          <w:i/>
        </w:rPr>
        <w:t xml:space="preserve">9110 Näringsfattig bokskog, 9160 Näringsrik ekskog, 9180 Ädellövskog i branter </w:t>
      </w:r>
      <w:r>
        <w:t xml:space="preserve">och </w:t>
      </w:r>
      <w:r>
        <w:rPr>
          <w:i/>
        </w:rPr>
        <w:t xml:space="preserve">9190 Näringsfattig ekskog </w:t>
      </w:r>
      <w:r>
        <w:t>(Nitare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