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22668-2026 i Ljungby kommun</w:t>
      </w:r>
    </w:p>
    <w:p>
      <w:r>
        <w:t>Detta klagomål behandlar höga naturvärden i avverkningsanmälan A 22668-2026 i Ljungby kommun som inkom 2026-05-13 och omfattar 1,4 ha.</w:t>
      </w:r>
    </w:p>
    <w:p>
      <w:pPr>
        <w:pStyle w:val="Caption"/>
      </w:pPr>
      <w:r>
        <w:drawing>
          <wp:inline xmlns:a="http://schemas.openxmlformats.org/drawingml/2006/main" xmlns:pic="http://schemas.openxmlformats.org/drawingml/2006/picture">
            <wp:extent cx="5486400" cy="4404203"/>
            <wp:docPr id="1" name="Picture 1"/>
            <wp:cNvGraphicFramePr>
              <a:graphicFrameLocks noChangeAspect="1"/>
            </wp:cNvGraphicFramePr>
            <a:graphic>
              <a:graphicData uri="http://schemas.openxmlformats.org/drawingml/2006/picture">
                <pic:pic>
                  <pic:nvPicPr>
                    <pic:cNvPr id="0" name="A 22668-2026 karta.png"/>
                    <pic:cNvPicPr/>
                  </pic:nvPicPr>
                  <pic:blipFill>
                    <a:blip r:embed="rId16"/>
                    <a:stretch>
                      <a:fillRect/>
                    </a:stretch>
                  </pic:blipFill>
                  <pic:spPr>
                    <a:xfrm>
                      <a:off x="0" y="0"/>
                      <a:ext cx="5486400" cy="4404203"/>
                    </a:xfrm>
                    <a:prstGeom prst="rect"/>
                  </pic:spPr>
                </pic:pic>
              </a:graphicData>
            </a:graphic>
          </wp:inline>
        </w:drawing>
      </w:r>
    </w:p>
    <w:p>
      <w:pPr>
        <w:pStyle w:val="Caption"/>
        <w:spacing w:after="240"/>
      </w:pPr>
      <w:r>
        <w:t>Figur 1. Fyndplatser för naturvårdsarter inom 17 meter från avverkningsanmälan. Markörer utan svart kant är placerade på fyndplatsen. Markörer med svart kant är placerade vid sidan av fyndplatsen och har ett svart streck som visar fyndplatsens exakta position. Kartans mittpunktskoordinat är N 6286912, E 416622 i SWEREF 99 TM.</w:t>
      </w:r>
    </w:p>
    <w:p>
      <w:r>
        <w:t>Inom 17 meter från avverkningsanmälan finns fynd av 4 naturvårdsarter, varav 2 är rödlistade och 4 är fridlysta: dammfladdermus (NT, §4a), nordfladdermus (NT, §4a), dvärgpipistrell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Dammfladdermus (NT, §4a)</w:t>
      </w:r>
      <w:r>
        <w:t xml:space="preserve">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För dammfladdermusen är det särskilt viktigt att värna om strandnära områden, genom att bevara eller skapa sumpskog och hålträd (SLU Artdatabanken, 2024; IUCN,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Dammfladdermus – ekologi samt krav på livsmiljön</w:t>
      </w:r>
    </w:p>
    <w:p>
      <w:r>
        <w:t>Dammfladdermus (NT, §4a) omfattas av bilaga 2 och 4 EU:s art- och habitatdirektiv vilket innebär att arten och dess livsmiljöer är strikt skyddade samt att Natura 2000-områden ska inrättas. Dammfladdermus är globalt rödlistad som nära hotad (NT) och i den europeiska rödlistan är den klassad som sårbar (VU) (SLU Artdatabanken, 2024; IUCN, 2016).</w:t>
      </w:r>
    </w:p>
    <w:p>
      <w:r>
        <w:t>Dammfladdermusen förekommer mest vid vatten, vid både sjöar och vattendrag. Den födosöker antingen tätt ovanför vattenytan eller i strandskog. Dammfladdermusen väljer lite större vatten än vattenfladdermusen, till exempel sjöar och breda åar. Den undviker stora sammanhängande öppna miljöer såsom åkrar och hyggen. Eftersom dammfladdermusen i huvudsak jagar över sjöar och vattendrag så är det framförallt vattenkvalité och utformningen av strandnära miljöer som påverkar artens förekomst. För dammfladdermusen är det särskilt viktigt att värna om strandnära områden, genom att bevara eller skapa sumpskog och hålträd (SLU Artdatabanken, 2024).</w:t>
      </w:r>
    </w:p>
    <w:p>
      <w:pPr>
        <w:pStyle w:val="Heading2"/>
      </w:pPr>
      <w:r>
        <w:t>Referenser – dammfladdermus</w:t>
      </w:r>
    </w:p>
    <w:p>
      <w:r>
        <w:t xml:space="preserve">IUCN, 2016. </w:t>
      </w:r>
      <w:r>
        <w:rPr>
          <w:i/>
        </w:rPr>
        <w:t>Myotis dasycneme</w:t>
      </w:r>
      <w:r>
        <w:t>. The IUCN Red List of Threatened Species.</w:t>
      </w:r>
    </w:p>
    <w:p>
      <w:r>
        <w:t>SLU Artdatabanken, 2024.</w:t>
      </w:r>
      <w:r>
        <w:rPr>
          <w:i/>
        </w:rPr>
        <w:t xml:space="preserve"> Artfakta: dammfladdermus (Myotis dasycneme)</w:t>
      </w:r>
      <w:r>
        <w:t>. https://artfakta.se/taxa/100086</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