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och ingår i ett åtgärdsprogram för hotade arter (ÅGP) (SLU Artdatabanken, 2024; IUCN, 2019).</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