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52987-2024 i Högsby kommun</w:t>
      </w:r>
    </w:p>
    <w:p>
      <w:r>
        <w:t>Denna tillsynsbegäran behandlar höga naturvärden i avverkningsanmälan A 52987-2024 i Högsby kommun som inkom 2024-11-15 och omfattar 5,9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A 52987-2024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6337819, E 555269 i SWEREF 99 TM.</w:t>
      </w:r>
    </w:p>
    <w:p>
      <w:r>
        <w:t>I och inom 3 meter från avverkningsanmälan finns fynd av 13 naturvårdsarter, varav 8 är rödlistade, 6 är fridlysta, 6 är typiska (T) och 3 är signalarter (S): svartoxe (EN), knärot (VU, T, §8), enkelbeckasin (NT, §4), entita (NT, T, §4), grönhjon (NT), sparvuggla (NT, §4), större flatbagge (NT), ullticka (NT, T), barkticka (S, T), brandticka (S), västlig hakmossa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Svartoxe (EN)</w:t>
      </w:r>
      <w:r>
        <w:t xml:space="preserve"> är en starkt hotad skalbagge som är bunden till lågor av grova dimensioner i täta naturskogar. Den omfattas av ett åtgärdsprogram för hotade arter (ÅGP) och är globalt rödlistad som nära notad (NT) vilket innebär att Sverige har ett internationellt ansvar för arten. Eftersom svartoxen är mycket svår att gynna via normala hänsynstaganden i skogsbruket bör istället bildande av naturreservat vara det lämpligaste instrumentet att bevara den utanför redan fredade områden. I några fall kan nyckelbiotoper fortfarande hysa arten. I så fall bör ett större område avsättas som skyddskappa runt området, och reservatsbildning övervägas (SLU Artdatabanken, 2024; IUCN, 2010; Hedin,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6435076"/>
            <wp:docPr id="2" name="Picture 2"/>
            <wp:cNvGraphicFramePr>
              <a:graphicFrameLocks noChangeAspect="1"/>
            </wp:cNvGraphicFramePr>
            <a:graphic>
              <a:graphicData uri="http://schemas.openxmlformats.org/drawingml/2006/picture">
                <pic:pic>
                  <pic:nvPicPr>
                    <pic:cNvPr id="0" name="A 52987-2024 karta knärot.png"/>
                    <pic:cNvPicPr/>
                  </pic:nvPicPr>
                  <pic:blipFill>
                    <a:blip r:embed="rId17"/>
                    <a:stretch>
                      <a:fillRect/>
                    </a:stretch>
                  </pic:blipFill>
                  <pic:spPr>
                    <a:xfrm>
                      <a:off x="0" y="0"/>
                      <a:ext cx="5486400" cy="64350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6337819, E 555269 i SWEREF 99 TM.</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entita (NT, T, §4), ullticka (NT, T), barkticka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