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5036-2024 i Högsby kommun</w:t>
      </w:r>
    </w:p>
    <w:p>
      <w:r>
        <w:t>Denna tillsynsbegäran behandlar höga naturvärden i samrådsanmälan S 5036-2024 i Högsby kommun som inkom 2024-12-10 och omfattar 13,4 ha.</w:t>
      </w:r>
    </w:p>
    <w:p>
      <w:pPr>
        <w:pStyle w:val="Caption"/>
      </w:pPr>
      <w:r>
        <w:drawing>
          <wp:inline xmlns:a="http://schemas.openxmlformats.org/drawingml/2006/main" xmlns:pic="http://schemas.openxmlformats.org/drawingml/2006/picture">
            <wp:extent cx="5486400" cy="5655481"/>
            <wp:docPr id="1" name="Picture 1"/>
            <wp:cNvGraphicFramePr>
              <a:graphicFrameLocks noChangeAspect="1"/>
            </wp:cNvGraphicFramePr>
            <a:graphic>
              <a:graphicData uri="http://schemas.openxmlformats.org/drawingml/2006/picture">
                <pic:pic>
                  <pic:nvPicPr>
                    <pic:cNvPr id="0" name="S 5036-2024 karta.png"/>
                    <pic:cNvPicPr/>
                  </pic:nvPicPr>
                  <pic:blipFill>
                    <a:blip r:embed="rId16"/>
                    <a:stretch>
                      <a:fillRect/>
                    </a:stretch>
                  </pic:blipFill>
                  <pic:spPr>
                    <a:xfrm>
                      <a:off x="0" y="0"/>
                      <a:ext cx="5486400" cy="5655481"/>
                    </a:xfrm>
                    <a:prstGeom prst="rect"/>
                  </pic:spPr>
                </pic:pic>
              </a:graphicData>
            </a:graphic>
          </wp:inline>
        </w:drawing>
      </w:r>
    </w:p>
    <w:p>
      <w:pPr>
        <w:pStyle w:val="Caption"/>
        <w:spacing w:after="240"/>
      </w:pPr>
      <w:r>
        <w:t>Figur 1. Fyndplatser för naturvårdsarter i och inom 19 meter från samrådsanmälan. Markörer utan svart kant är placerade på fyndplatsen. Markörer med svart kant är placerade vid sidan av fyndplatsen och har ett svart streck som visar fyndplatsens exakta position. Kartans mittpunktskoordinat är N 6343766, E 563233 i SWEREF 99 TM.</w:t>
      </w:r>
    </w:p>
    <w:p>
      <w:r>
        <w:t>I och inom 19 meter från samrådsanmälan finns fynd av 7 naturvårdsarter, varav 3 är rödlistade, 5 är fridlysta, 5 är typiska (T) och 1 är signalart (S): knärot (VU, T, §8), slåtterfibbla (NT, T), tallticka (NT, T), ekoxe (S, §6), blåsippa (T, §9), spillkråka (T, §4) och gullviva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9 fyndplatser för knärot registrerade på Artportalen. Figur 2 visar gränserna för buffertzoner på 50 m, som behöver lämnas kring fyndplatserna för att knärotslokalerna inte ska försvinna vid en avverkning. Av det samrådsanmälda området överlappar 2.84 ha med buffertzonerna och får av detta skäl inte avverkas.</w:t>
      </w:r>
    </w:p>
    <w:p>
      <w:pPr>
        <w:pStyle w:val="Caption"/>
      </w:pPr>
      <w:r>
        <w:drawing>
          <wp:inline xmlns:a="http://schemas.openxmlformats.org/drawingml/2006/main" xmlns:pic="http://schemas.openxmlformats.org/drawingml/2006/picture">
            <wp:extent cx="5486400" cy="7117889"/>
            <wp:docPr id="2" name="Picture 2"/>
            <wp:cNvGraphicFramePr>
              <a:graphicFrameLocks noChangeAspect="1"/>
            </wp:cNvGraphicFramePr>
            <a:graphic>
              <a:graphicData uri="http://schemas.openxmlformats.org/drawingml/2006/picture">
                <pic:pic>
                  <pic:nvPicPr>
                    <pic:cNvPr id="0" name="S 5036-2024 karta knärot.png"/>
                    <pic:cNvPicPr/>
                  </pic:nvPicPr>
                  <pic:blipFill>
                    <a:blip r:embed="rId17"/>
                    <a:stretch>
                      <a:fillRect/>
                    </a:stretch>
                  </pic:blipFill>
                  <pic:spPr>
                    <a:xfrm>
                      <a:off x="0" y="0"/>
                      <a:ext cx="5486400" cy="7117889"/>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6343766, E 563233 i SWEREF 99 TM.</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Ekoxe (§6) </w:t>
      </w:r>
      <w:r>
        <w:t>omfattas av EU:s art- och habitatdirektiv och är fridlyst enligt 6 § artskyddsförordningen.</w:t>
      </w:r>
      <w:r>
        <w:rPr>
          <w:b/>
        </w:rPr>
        <w:t xml:space="preserve"> </w:t>
      </w:r>
      <w:r>
        <w:t>Dess larvutveckling sker i och vid stubbar, i lågor med markkontakt och grövre döda rötter av olika lövträd, även i döda rotdelar på levande träd. I Sverige främst funnen i ek men även några gånger i bok, hassel, ask och björk. Arten lever främst i halvöppna miljöer såsom trädklädda hagmarker eller gles skog, gärna i sydsluttningar. Arten påverkas negativt av brist på grova eller gamla träd och det föreligger indikation på eller misstanke om populationsminskning. Minskningen avser kvalitén på artens habitat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knärot (VU, T, §8), slåtterfibbla (NT, T), tallticka (NT, T), blåsippa (T, §9)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