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787-2023 i Högsby kommun</w:t>
      </w:r>
    </w:p>
    <w:p>
      <w:r>
        <w:t>Denna tillsynsbegäran behandlar höga naturvärden i samrådsanmälan S 787-2023 i Högsby kommun som inkom 2023-02-28 och omfattar 166,6 ha.</w:t>
      </w:r>
    </w:p>
    <w:p>
      <w:pPr>
        <w:pStyle w:val="Caption"/>
      </w:pPr>
      <w:r>
        <w:drawing>
          <wp:inline xmlns:a="http://schemas.openxmlformats.org/drawingml/2006/main" xmlns:pic="http://schemas.openxmlformats.org/drawingml/2006/picture">
            <wp:extent cx="5373872" cy="5724000"/>
            <wp:docPr id="1" name="Picture 1"/>
            <wp:cNvGraphicFramePr>
              <a:graphicFrameLocks noChangeAspect="1"/>
            </wp:cNvGraphicFramePr>
            <a:graphic>
              <a:graphicData uri="http://schemas.openxmlformats.org/drawingml/2006/picture">
                <pic:pic>
                  <pic:nvPicPr>
                    <pic:cNvPr id="0" name="S 787-2023 karta.png"/>
                    <pic:cNvPicPr/>
                  </pic:nvPicPr>
                  <pic:blipFill>
                    <a:blip r:embed="rId16"/>
                    <a:stretch>
                      <a:fillRect/>
                    </a:stretch>
                  </pic:blipFill>
                  <pic:spPr>
                    <a:xfrm>
                      <a:off x="0" y="0"/>
                      <a:ext cx="5373872" cy="5724000"/>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6323445, E 568360 i SWEREF 99 TM.</w:t>
      </w:r>
    </w:p>
    <w:p>
      <w:r>
        <w:t>I samrådsanmälan finns fynd av 2 naturvårdsarter, varav 1 är rödlistad, 1 är fridlyst, 2 är typiska (T) och 1 är signalart (S): knärot (VU, T, §8) och grönpyrola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samrådsanmälda området finns 1 fyndplatser för knärot registrerade på Artportalen. Figur 2 visar gränserna för buffertzoner på 50 m, som behöver lämnas kring fyndplatserna för att knärotslokalerna inte ska försvinna vid en avverkning. Av det samrådsanmälda området överlappar 0.79 ha med buffertzonerna och får av detta skäl inte avverkas.</w:t>
      </w:r>
    </w:p>
    <w:p>
      <w:pPr>
        <w:pStyle w:val="Caption"/>
      </w:pPr>
      <w:r>
        <w:drawing>
          <wp:inline xmlns:a="http://schemas.openxmlformats.org/drawingml/2006/main" xmlns:pic="http://schemas.openxmlformats.org/drawingml/2006/picture">
            <wp:extent cx="5486400" cy="7276857"/>
            <wp:docPr id="2" name="Picture 2"/>
            <wp:cNvGraphicFramePr>
              <a:graphicFrameLocks noChangeAspect="1"/>
            </wp:cNvGraphicFramePr>
            <a:graphic>
              <a:graphicData uri="http://schemas.openxmlformats.org/drawingml/2006/picture">
                <pic:pic>
                  <pic:nvPicPr>
                    <pic:cNvPr id="0" name="S 787-2023 karta knärot.png"/>
                    <pic:cNvPicPr/>
                  </pic:nvPicPr>
                  <pic:blipFill>
                    <a:blip r:embed="rId17"/>
                    <a:stretch>
                      <a:fillRect/>
                    </a:stretch>
                  </pic:blipFill>
                  <pic:spPr>
                    <a:xfrm>
                      <a:off x="0" y="0"/>
                      <a:ext cx="5486400" cy="7276857"/>
                    </a:xfrm>
                    <a:prstGeom prst="rect"/>
                  </pic:spPr>
                </pic:pic>
              </a:graphicData>
            </a:graphic>
          </wp:inline>
        </w:drawing>
      </w:r>
    </w:p>
    <w:p>
      <w:pPr>
        <w:pStyle w:val="Caption"/>
        <w:spacing w:after="240"/>
      </w:pPr>
      <w:r>
        <w:t>Figur 2. Fyndplatser och buffertzoner för knärot i det samrådsanmälda området. Endast fyndplatser vars buffertzoner överlappar med det samrådsanmälda området har tagits med i visualiseringen. Kartans mittpunktskoordinat är N 6323445, E 568360 i SWEREF 99 TM.</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