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23597-2021 i Högsby kommun</w:t>
      </w:r>
    </w:p>
    <w:p>
      <w:r>
        <w:t>Detta dokument behandlar höga naturvärden i avverkningsanmälan A 23597-2021 i Högsby kommun. Denna avverkningsanmälan inkom 2021-05-18 och omfattar 1,5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blå taggsvamp (NT), Hapalopilus aurantiacus (NT), mjölsvärting (NT), svinrot (NT), blåmossa (S), dropptaggsvamp (S), plattlummer (S, §9) och revlummer (§9).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45092"/>
            <wp:docPr id="1" name="Picture 1"/>
            <wp:cNvGraphicFramePr>
              <a:graphicFrameLocks noChangeAspect="1"/>
            </wp:cNvGraphicFramePr>
            <a:graphic>
              <a:graphicData uri="http://schemas.openxmlformats.org/drawingml/2006/picture">
                <pic:pic>
                  <pic:nvPicPr>
                    <pic:cNvPr id="0" name="A 23597-2021 karta.png"/>
                    <pic:cNvPicPr/>
                  </pic:nvPicPr>
                  <pic:blipFill>
                    <a:blip r:embed="rId16"/>
                    <a:stretch>
                      <a:fillRect/>
                    </a:stretch>
                  </pic:blipFill>
                  <pic:spPr>
                    <a:xfrm>
                      <a:off x="0" y="0"/>
                      <a:ext cx="5486400" cy="50450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6343918, E 554658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i/>
        </w:rPr>
        <w:t>Hapalopilus aurantiacus</w:t>
      </w:r>
      <w:r>
        <w:rPr>
          <w:b/>
        </w:rPr>
        <w:t xml:space="preserve"> (NT) </w:t>
      </w:r>
      <w:r>
        <w:t>växer mestadels på liggande ved av tall men även på granved. Artens ekologi och utbredning bör utredas ytterligare. Särskilt bör den eftersökas i de delar av Norrland där den ännu ej är funnen. I väntan på ytterligare detaljer om artens ståndortskrav bör fler tallskogar av naturskogskaraktär och med god tillgång på lågor sparas (SLU Artdatabanken, 2024).</w:t>
      </w:r>
    </w:p>
    <w:p>
      <w:r>
        <w:rPr>
          <w:b/>
        </w:rPr>
        <w:t>Mjölsvärting (NT)</w:t>
      </w:r>
      <w:r>
        <w:t xml:space="preserve"> växer i luckig barrskog, huvudsakligen på tallhed och i äldre skog. Mager, äldre tallskog och barrblandskog med lång trädkontinuitet bör undantas från trakthyggesbruk. Mjölsvärtingens lokaler är ofta nyckelbiotoper och bör då sparas i sin helhet (SLU Artdatabanken, 2024).</w:t>
      </w:r>
    </w:p>
    <w:p>
      <w:pPr>
        <w:pStyle w:val="Heading1"/>
      </w:pPr>
      <w:r>
        <w:t>Fridlysta arter</w:t>
      </w:r>
    </w:p>
    <w:p>
      <w:r>
        <w:t>Följande fridlysta arter har sina livsmiljöer och växtplatser i den avverkningsanmälda skogen: plattlummer (S, §9) och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