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2201-2022 i Högsby kommun</w:t>
      </w:r>
    </w:p>
    <w:p>
      <w:r>
        <w:t>Detta klagomål behandlar höga naturvärden i samrådsanmälan S 2201-2022 i Högsby kommun som inkom 2022-04-28 och omfattar 0,7 ha.</w:t>
      </w:r>
    </w:p>
    <w:p>
      <w:pPr>
        <w:pStyle w:val="Caption"/>
      </w:pPr>
      <w:r>
        <w:drawing>
          <wp:inline xmlns:a="http://schemas.openxmlformats.org/drawingml/2006/main" xmlns:pic="http://schemas.openxmlformats.org/drawingml/2006/picture">
            <wp:extent cx="5486400" cy="4803899"/>
            <wp:docPr id="1" name="Picture 1"/>
            <wp:cNvGraphicFramePr>
              <a:graphicFrameLocks noChangeAspect="1"/>
            </wp:cNvGraphicFramePr>
            <a:graphic>
              <a:graphicData uri="http://schemas.openxmlformats.org/drawingml/2006/picture">
                <pic:pic>
                  <pic:nvPicPr>
                    <pic:cNvPr id="0" name="S 2201-2022 karta.png"/>
                    <pic:cNvPicPr/>
                  </pic:nvPicPr>
                  <pic:blipFill>
                    <a:blip r:embed="rId16"/>
                    <a:stretch>
                      <a:fillRect/>
                    </a:stretch>
                  </pic:blipFill>
                  <pic:spPr>
                    <a:xfrm>
                      <a:off x="0" y="0"/>
                      <a:ext cx="5486400" cy="4803899"/>
                    </a:xfrm>
                    <a:prstGeom prst="rect"/>
                  </pic:spPr>
                </pic:pic>
              </a:graphicData>
            </a:graphic>
          </wp:inline>
        </w:drawing>
      </w:r>
    </w:p>
    <w:p>
      <w:pPr>
        <w:pStyle w:val="Caption"/>
        <w:spacing w:after="240"/>
      </w:pPr>
      <w:r>
        <w:t>Figur 1. Fyndplatser för naturvårdsarter i och inom 7 meter från samrådsanmälan. Markörer utan svart kant är placerade på fyndplatsen. Markörer med svart kant är placerade vid sidan av fyndplatsen och har ett svart streck som visar fyndplatsens exakta position. Kartans mittpunktskoordinat är N 6333978, E 535715 i SWEREF 99 TM.</w:t>
      </w:r>
    </w:p>
    <w:p>
      <w:r>
        <w:t>I och inom 7 meter från samrådsanmälan finns fynd av 7 naturvårdsarter, varav 7 är rödlistade och 1 är typisk (T): koppartaggsvamp (EN), raggtaggsvamp (EN), fjällig taggsvamp s.str. (NT), luddfingersvamp (NT), orange taggsvamp (NT, T), skarp dropptaggsvamp (NT) och tjockfotad fingersvamp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Raggtaggsvamp (EN)</w:t>
      </w:r>
      <w:r>
        <w:t xml:space="preserve"> är en sällsynt och nationellt starkt hotad art som är knuten till gamla mossiga och örtrika kalkgranskogar med långvarig grankontinuitet. En ”toppart” som alltid indikerar starkt skyddsvärda kalkgranskogar. Raggtaggsvamp år globalt rödlistad som sårbar (VU) och Sverige har en betydande andel av den kända världspopulationen vilket innebär ett internationellt ansvar för arten. Arten försvinner vid slutavverkning vilket utgör det enskilt största hotet. (SLU Artdatabanken, 2024; Nitare &amp; Skogsstyrelsen, 2019; IUCN, 2015).</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