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581-2023 i Torsås kommun</w:t>
      </w:r>
    </w:p>
    <w:p>
      <w:r>
        <w:t>Detta klagomål behandlar höga naturvärden i samrådsanmälan S 581-2023 i Torsås kommun som inkom 2023-02-14 och omfattar 86,1 ha.</w:t>
      </w:r>
    </w:p>
    <w:p>
      <w:pPr>
        <w:pStyle w:val="Caption"/>
      </w:pPr>
      <w:r>
        <w:drawing>
          <wp:inline xmlns:a="http://schemas.openxmlformats.org/drawingml/2006/main" xmlns:pic="http://schemas.openxmlformats.org/drawingml/2006/picture">
            <wp:extent cx="5486400" cy="5057150"/>
            <wp:docPr id="1" name="Picture 1"/>
            <wp:cNvGraphicFramePr>
              <a:graphicFrameLocks noChangeAspect="1"/>
            </wp:cNvGraphicFramePr>
            <a:graphic>
              <a:graphicData uri="http://schemas.openxmlformats.org/drawingml/2006/picture">
                <pic:pic>
                  <pic:nvPicPr>
                    <pic:cNvPr id="0" name="S 581-2023 karta.png"/>
                    <pic:cNvPicPr/>
                  </pic:nvPicPr>
                  <pic:blipFill>
                    <a:blip r:embed="rId16"/>
                    <a:stretch>
                      <a:fillRect/>
                    </a:stretch>
                  </pic:blipFill>
                  <pic:spPr>
                    <a:xfrm>
                      <a:off x="0" y="0"/>
                      <a:ext cx="5486400" cy="5057150"/>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6260325, E 555701 i SWEREF 99 TM.</w:t>
      </w:r>
    </w:p>
    <w:p>
      <w:r>
        <w:t>I och inom 22 meter från samrådsanmälan finns fynd av 17 naturvårdsarter, varav 9 är rödlistade, 9 är fridlysta, 6 är typiska (T) och 3 är signalarter (S): rosa lundlav (VU, T), barbastell (NT, §4a), bokvårtlav (NT, T), brunlångöra (NT, §4a), fransfladdermus (NT, §4a), gullklöver (NT), motaggsvamp (NT, T), nordfladdermus (NT, §4a), tallticka (NT, T), havstulpanlav (S, T), sotlav (S, T), stor revmossa (S), dvärgpipistrell (§4a), större brunfladdermus (§4a), trollpipistrell (§4a), vattenfladdermus (§4a)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Rosa lundlav (VU)</w:t>
      </w:r>
      <w:r>
        <w:t xml:space="preserve"> växer på ädellövträd i gamla skogar med hög och jämn luftfuktighet och signalerar skyddsvärda ädellövskogar med lång kontinuitet. Minskningstakten uppgår till 30 (20–50) % inom 50 år och överstiger gränsvärdet för Sårbar (VU). Lokaler med rika förekomster bör skyddas. Rosa lundlav är typisk art för </w:t>
      </w:r>
      <w:r>
        <w:rPr>
          <w:i/>
        </w:rPr>
        <w:t xml:space="preserve">9020 Nordlig ädellövskog, 9110 Näringsfattig bokskog, 9130 Näringsrik bokskog </w:t>
      </w:r>
      <w:r>
        <w:t>och</w:t>
      </w:r>
      <w:r>
        <w:rPr>
          <w:i/>
        </w:rPr>
        <w:t xml:space="preserve"> 9180 Ädellövskog i branter</w:t>
      </w:r>
      <w:r>
        <w:t xml:space="preserve"> (SLU Artdatabanken, 2024; Nitare &amp; Skogsstyrelsen, 2019).</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