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47385-2023 i Torsås kommun</w:t>
      </w:r>
    </w:p>
    <w:p>
      <w:r>
        <w:t>Detta dokument behandlar höga naturvärden i avverkningsanmälan A 47385-2023 i Torsås kommun. Denna avverkningsanmälan inkom 2023-10-03 00:00:00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nordfladdermus (NT, §4a), större brunfladdermus (§4a) och trollpipistrell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0824"/>
            <wp:docPr id="1" name="Picture 1"/>
            <wp:cNvGraphicFramePr>
              <a:graphicFrameLocks noChangeAspect="1"/>
            </wp:cNvGraphicFramePr>
            <a:graphic>
              <a:graphicData uri="http://schemas.openxmlformats.org/drawingml/2006/picture">
                <pic:pic>
                  <pic:nvPicPr>
                    <pic:cNvPr id="0" name="A 47385-2023 karta.png"/>
                    <pic:cNvPicPr/>
                  </pic:nvPicPr>
                  <pic:blipFill>
                    <a:blip r:embed="rId16"/>
                    <a:stretch>
                      <a:fillRect/>
                    </a:stretch>
                  </pic:blipFill>
                  <pic:spPr>
                    <a:xfrm>
                      <a:off x="0" y="0"/>
                      <a:ext cx="5486400" cy="34408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6254495, E 557856 i SWEREF 99 TM.</w:t>
      </w:r>
    </w:p>
    <w:p>
      <w:pPr>
        <w:pStyle w:val="Heading1"/>
      </w:pPr>
      <w:r>
        <w:t>Fridlysta arter</w:t>
      </w:r>
    </w:p>
    <w:p>
      <w:r>
        <w:t>Följande fridlysta arter har sina livsmiljöer och växtplatser i den avverkningsanmälda skogen: nordfladdermus (NT, §4a), större brunfladdermus (§4a) och trollpipistrell (§4a).</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rPr>
          <w:b/>
        </w:rPr>
        <w:t>Trollpipistrell (§4a)</w:t>
      </w:r>
      <w:r>
        <w:t xml:space="preserve"> omfattas av bilaga 4 EU:s art- och habitatdirektiv vilket innebär ett strikt skydd för arten och dess livsmiljöer. Trollpipistrell förekommer i gles barr- och lövskog, i trädbärande beteshagar, i kantzoner mellan skog och odlingsmark, i närheten av sjöar och vattendrag samt i bymiljöer. Den undviker stora öppna miljöer såsom åkrar och hyggen och gynnas av ett landskap med mycket lövträd, vatten och hålträd. Under året utnyttjas många olika miljöer och ett effektivt bevarandearbete måste därför utgå från ett landskapsekologiskt perspektiv. Ett varierat landskap med hög andel äldre lövträd, småvatten, sumpskogar, öppna våtmarker, ängar och betesmarker, är gynnsamt för insekter vilket skapar förutsättningar för fladdermöss att finna tillräckligt med föda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