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24778-2022 i Mörbylånga kommun</w:t>
      </w:r>
    </w:p>
    <w:p>
      <w:r>
        <w:t>Denna tillsynsbegäran behandlar höga naturvärden i avverkningsanmälan A 24778-2022 i Mörbylånga kommun som inkom 2022-06-16 och omfattar 1,0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4778-2022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6276897, E 601195 i SWEREF 99 TM.</w:t>
      </w:r>
    </w:p>
    <w:p>
      <w:r>
        <w:t>I och inom 25 meter från avverkningsanmälan finns fynd av 11 naturvårdsarter, varav 8 är rödlistade, 1 är fridlyst, 3 är typiska (T) och 2 är signalarter (S): tofsäxing (EN), backtimjan (NT), flentimotej (NT), grådådra (NT), poppeltofsskivling (NT), slåtterfibbla (NT, T), sminkrot (NT), solvända (NT), kalktallört (S),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Poppeltofsskivling (NT) </w:t>
      </w:r>
      <w:r>
        <w:t>påträffas på nyss fällda stammar av poppel i parker, trädgårdar och alléer samt även på asp i lövrik blandskog. Borttagning av gamla popplar i parker och alléer liksom att asp missgynnas av skogsbruket är de främsta hoten mot arten. Inom skogsbruket måste aspens betydelse för biodiversiteten i skogarna betonas mer. Asp bör lämnas till fri utveckling i bergbranter, raviner, bryn och åkerholmar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