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2864-2026 i Mörbylånga kommun</w:t>
      </w:r>
    </w:p>
    <w:p>
      <w:r>
        <w:t>Detta klagomål behandlar höga naturvärden i avverkningsanmälan A 2864-2026 i Mörbylånga kommun som inkom 2026-01-16 och omfattar 1,0 ha.</w:t>
      </w:r>
    </w:p>
    <w:p>
      <w:pPr>
        <w:pStyle w:val="Caption"/>
      </w:pPr>
      <w:r>
        <w:drawing>
          <wp:inline xmlns:a="http://schemas.openxmlformats.org/drawingml/2006/main" xmlns:pic="http://schemas.openxmlformats.org/drawingml/2006/picture">
            <wp:extent cx="5486400" cy="4807415"/>
            <wp:docPr id="1" name="Picture 1"/>
            <wp:cNvGraphicFramePr>
              <a:graphicFrameLocks noChangeAspect="1"/>
            </wp:cNvGraphicFramePr>
            <a:graphic>
              <a:graphicData uri="http://schemas.openxmlformats.org/drawingml/2006/picture">
                <pic:pic>
                  <pic:nvPicPr>
                    <pic:cNvPr id="0" name="A 2864-2026 karta.png"/>
                    <pic:cNvPicPr/>
                  </pic:nvPicPr>
                  <pic:blipFill>
                    <a:blip r:embed="rId16"/>
                    <a:stretch>
                      <a:fillRect/>
                    </a:stretch>
                  </pic:blipFill>
                  <pic:spPr>
                    <a:xfrm>
                      <a:off x="0" y="0"/>
                      <a:ext cx="5486400" cy="4807415"/>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6289910, E 594350 i SWEREF 99 TM.</w:t>
      </w:r>
    </w:p>
    <w:p>
      <w:r>
        <w:t>I och inom 21 meter från avverkningsanmälan finns fynd av 5 naturvårdsarter, varav 1 är rödlistad, 4 är fridlysta, 3 är typiska (T) och 1 är signalart (S): gulsparv (NT, §4), mindre märgborre (S, T), blåsippa (T, §9), spillkråka (T, §4) och röd glada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Röd glada (§4)</w:t>
      </w:r>
      <w:r>
        <w:t xml:space="preserve"> är fridlyst enligt 4§ artskyddsförordningen och upptagen i bilaga 1 EU:s fågeldirektiv. Den häckar gärna i omväxlande landskap med mosaik av öppna marker och skogar. Tidigare studier har visat en förkärlek för att häcka nära sjöar, och häckningsframgången var också högre hos par som häckade nära vatten. Boet läggs i träd, ofta högt och vanligen nära skogsbryn. Missgynnas av skogliga åtgärder som lämnar boet allt för exponerat, främst genom för smala skyddszoner och för omfattande gallring. Lämna en skyddszon kring boplatser vid avverkning eller andra skogliga åtgärder. Bredden på skyddszonen beror på platsen, men som tumregel ska den ska vara så bred att boplatsen inte är väsentligt mer exponerad för insyn än tidigare. Spara samtliga träd med större risbon, även sådana där boet ser obebott ut. Avstå att avverka äldre lövdominerade bestånd, främst i anslutning till öppen jordbruksmark (SLU Artdatabanken, 2024;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