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21219-2023 i Mörbylånga kommun</w:t>
      </w:r>
    </w:p>
    <w:p>
      <w:r>
        <w:t>Denna tillsynsbegäran behandlar höga naturvärden i avverkningsanmälan A 21219-2023 i Mörbylånga kommun som inkom 2023-05-16 och omfattar 2,6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6290224, E 595356 i SWEREF 99 TM.</w:t>
      </w:r>
    </w:p>
    <w:p>
      <w:r>
        <w:t>I och inom 24 meter från avverkningsanmälan finns fynd av 20 naturvårdsarter, varav 7 är rödlistade, 7 är fridlysta, 7 är typiska (T) och 10 är signalarter (S): ask (EN), mindre bastardsvärmare (VU), fläckig saffransspindling (NT), munkspindling (NT), olivbrun spindling (NT), svartbrun klaffmätare (NT), sårläka (NT, T), grov baronmossa (S, T), murgröna (S, T), nästrot (S, §8), platt fjädermossa (S, T), purpurknipprot (S, §8), skogsknipprot (S, T, §8), strimspindling (S), traslav (S), tvåblad (S, §8), underviol (S, T), blåsippa (T, §9),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Fläckig saffransspindling (NT) </w:t>
      </w:r>
      <w:r>
        <w:t>växer i ädellövrik skog, ängsbokskog, hässle och på kalktorräng i mosaikmarker där den bildar mykorrhiza med ek, bok och hassel och sällsynt även med solvända (</w:t>
      </w:r>
      <w:r>
        <w:rPr>
          <w:i/>
        </w:rPr>
        <w:t>Helianthemum nummularium</w:t>
      </w:r>
      <w:r>
        <w:t>). Det främsta hotet mot arten är avverkning av dess värdträd. Skydda ädellövskogen och sörj för dess kontinuitet. En långsiktig tillgång till värdträd säkras genom att växtplatserna undantas från avverkning. Fläckig saffransspindling är globalt rödlistad som nära hotad (NT) vilket innebär att Sverige har ett internationellt ansvar för arten (SLU Artdatabanken, 2026; IUCN, 2021).</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grov baronmossa (S, T), murgröna (S, T), platt fjädermossa (S, T), skogsknipprot (S, T, §8),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