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1761-2022 i Mörbylånga kommun</w:t>
      </w:r>
    </w:p>
    <w:p>
      <w:r>
        <w:t>Denna tillsynsbegäran behandlar höga naturvärden i samrådsanmälan S 1761-2022 i Mörbylånga kommun som inkom 2022-04-04 och omfattar 6,3 ha.</w:t>
      </w:r>
    </w:p>
    <w:p>
      <w:pPr>
        <w:pStyle w:val="Caption"/>
      </w:pPr>
      <w:r>
        <w:drawing>
          <wp:inline xmlns:a="http://schemas.openxmlformats.org/drawingml/2006/main" xmlns:pic="http://schemas.openxmlformats.org/drawingml/2006/picture">
            <wp:extent cx="4702665" cy="5724000"/>
            <wp:docPr id="1" name="Picture 1"/>
            <wp:cNvGraphicFramePr>
              <a:graphicFrameLocks noChangeAspect="1"/>
            </wp:cNvGraphicFramePr>
            <a:graphic>
              <a:graphicData uri="http://schemas.openxmlformats.org/drawingml/2006/picture">
                <pic:pic>
                  <pic:nvPicPr>
                    <pic:cNvPr id="0" name="S 1761-2022 karta.png"/>
                    <pic:cNvPicPr/>
                  </pic:nvPicPr>
                  <pic:blipFill>
                    <a:blip r:embed="rId16"/>
                    <a:stretch>
                      <a:fillRect/>
                    </a:stretch>
                  </pic:blipFill>
                  <pic:spPr>
                    <a:xfrm>
                      <a:off x="0" y="0"/>
                      <a:ext cx="470266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6282224, E 595231 i SWEREF 99 TM.</w:t>
      </w:r>
    </w:p>
    <w:p>
      <w:r>
        <w:t>I och inom 22 meter från samrådsanmälan finns fynd av 46 naturvårdsarter, varav 31 är rödlistade, 15 är fridlysta, 4 är typiska (T) och 5 är signalarter (S): lundalm (EN), lövkryddspindling (EN), bombarderbagge (VU), grov gulmossa (VU), lövstrimspindling (VU), mindre blåvinge (VU), olivfjällskivling (VU), praktspindling (VU), sexfläckig bastardsvärmare (VU), småvänderot (VU), svartfläckig blåvinge (VU, §4a), almsnabbvinge (NT), axveronika (NT), backklöver (NT), bolmört (NT), flikros (NT), Gonia capitata (NT), gulsparv (NT, §4), göktyta (NT, §4), jordtistel (NT), kavelhirs (NT), korskovall (NT), mjölspindling (NT), myntaspetsvivel (NT), nötkråka (NT, T, §4), silversmygare (NT), solvända (NT), stallört (NT), sårläka (NT, T), åkerkulla (NT), öländsk svävfluga (NT), Dorcatoma dresdensis (S), hasselticka (S, T), myskmadra (S, T), nästrot (S, §8), scharlakansskål (S), citronfläckad kärrtrollslända (§4a), långbensgroda (§4a), större vattensalamander (§4a), trädlärka (§4), ärtsångare (§4), åkergroda (§4a), mindre vattensalamander (§6), vanlig padda (§6), grönvit nattviol (§8) och johannesnycklar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Lövkryddspindling (EN) </w:t>
      </w:r>
      <w:r>
        <w:t>är en mycket sällsynt och starkt hotad svamp som bildar mykorrhiza med hassel i mosaikartade, torra hässlen på kalkrik mark. Hittills känd från ett fåtal lokaler i Skandinavien och även mycket sällsynt i övriga Europa. Missgynnas av att mosaikartade skogsbeten ersätts av mera renodlade, öppna betesmarker eller lämnas att växa igen. Populationen bedöms som mycket liten och därmed känslig för alla typer av förändringar på dess fåtaliga växtplatser. Arten är placerad högst upp i Skogsstyrelsens värdepyramid för bedömning av skog med höga naturvärden (SLU Artdatabanken, 2024; Nitare &amp; Skogsstyrelsen, 2019).</w:t>
      </w:r>
    </w:p>
    <w:p>
      <w:r>
        <w:rPr>
          <w:b/>
        </w:rPr>
        <w:t xml:space="preserve">Lövstrimspindling (VU) </w:t>
      </w:r>
      <w:r>
        <w:t>bildar mykorrhiza med hassel i mosaikartade, torra hässlen och i varm ädellövskog på kalkrik mark. Total population i landet bedöms ha minskat och fortsätta att minska p.g.a. igenväxning och förtätning men även för hårda utglesningar i samband med restaureringar av ädellövsrik betesmark och mosaikartade hässlen (SLU Artdatabanken, 2026).</w:t>
      </w:r>
    </w:p>
    <w:p>
      <w:r>
        <w:rPr>
          <w:b/>
        </w:rPr>
        <w:t xml:space="preserve">Olivfjällskivling (VU) </w:t>
      </w:r>
      <w:r>
        <w:t>lever som förnanedbrytare på marken i torra hässlen, i mosaikmarker och i blandlövskog med ek, alm, ask, björk, gran, tall och en. Den föredrar en luftig, mullrik jord med högt pH, gärna i nötbetade marker samt på torrängar. En upphörd betesdrift, med åtföljande igenväxning från öppna och halvöppna miljöer till helt slutna kommer att missgynna arten. Även skogliga åtgärder som slutavverkning och markberedning innebär konkreta hot mot artens fortlevnad. En långsiktig tillgång till värdträd säkras genom att växtplatserna undantas från trakthyggesbruk. De extensivt betade mosaikmiljöerna hålls i fortsatt hävd, kompletterat med naturvårdsinriktade skogliga åtgärder i syfte att upprätthålla en viss luckighet (SLU Artdatabanken, 2024).</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