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43714-2025 i Mörbylånga kommun</w:t>
      </w:r>
    </w:p>
    <w:p>
      <w:r>
        <w:t>Detta dokument behandlar höga naturvärden i avverkningsanmälan A 43714-2025 i Mörbylånga kommun. Denna avverkningsanmälan inkom 2025-09-12 09:47:44 och omfattar 7,9 ha.</w:t>
      </w:r>
    </w:p>
    <w:p>
      <w:r>
        <w:t>Nedan presenteras fynd av naturvårdsarter och fridlysta 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5 naturvårdsarter hittats: alvarsandbi (NT), grönsångare (NT, §4), mindre bastardsvärmare (NT), sexfläckig bastardsvärmare (NT) och tibast (S). Av dessa är 4 rödlistade. För rödlistade arter har rödlistekategorin angivits inom parentes.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5046542"/>
            <wp:docPr id="1" name="Picture 1"/>
            <wp:cNvGraphicFramePr>
              <a:graphicFrameLocks noChangeAspect="1"/>
            </wp:cNvGraphicFramePr>
            <a:graphic>
              <a:graphicData uri="http://schemas.openxmlformats.org/drawingml/2006/picture">
                <pic:pic>
                  <pic:nvPicPr>
                    <pic:cNvPr id="0" name="A 43714-2025 karta.png"/>
                    <pic:cNvPicPr/>
                  </pic:nvPicPr>
                  <pic:blipFill>
                    <a:blip r:embed="rId16"/>
                    <a:stretch>
                      <a:fillRect/>
                    </a:stretch>
                  </pic:blipFill>
                  <pic:spPr>
                    <a:xfrm>
                      <a:off x="0" y="0"/>
                      <a:ext cx="5486400" cy="5046542"/>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6277912, E 598372 i SWEREF 99 TM.</w:t>
      </w:r>
    </w:p>
    <w:p>
      <w:r>
        <w:rPr>
          <w:b/>
        </w:rPr>
        <w:t>Tibast</w:t>
      </w:r>
      <w:r>
        <w:t xml:space="preserve"> är en kalkgynnad buske som växer på mullrik, frisk eller svagt fuktig mark, exempelvis i gamla kalkgranskogar, lövträdslundar, varma källpåverkade sluttningar och exklusiva biotoper kopplade till vattendrag. Förekomster i gammal skog visar på höga naturvärden och bör alltid noteras i samband med naturvärdesinventeringar. Tibast är värdväxt för de två fjärilsarterna större tibastmal och brun tibastmal (CR) (SLU Artdatabanken, 2024; Nitare &amp; Skogsstyrelsen, 2019).</w:t>
      </w:r>
    </w:p>
    <w:p>
      <w:pPr>
        <w:pStyle w:val="Heading1"/>
      </w:pPr>
      <w:r>
        <w:t>Fridlysta arter</w:t>
      </w:r>
    </w:p>
    <w:p>
      <w:r>
        <w:t>Följande fridlysta arter har sina livsmiljöer och växtplatser i den avverkningsanmälda skogen: grönsångare (NT, §4).</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r>
        <w:rPr>
          <w:i/>
        </w:rPr>
        <w:t xml:space="preserve"> EU:s medlemsländer och skogsbolag är skyldiga att agera i enlighet med EU:s fågeldirektiv där det uttryckligen står att direktivet gäller för fåglar samt för deras ägg, bon och </w:t>
      </w:r>
      <w:r>
        <w:rPr>
          <w:b/>
          <w:i/>
        </w:rPr>
        <w:t xml:space="preserve">livsmiljöer </w:t>
      </w:r>
      <w:r>
        <w:t>(artikel 1). Vidare att de åtgärder som vidtas inte får leda till en försämring av den nuvarande situationen beträffande bevarandet av de fågelarter som avses i artikel 1 (artikel 13).</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5 naturvårdsarter varav 4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2025-10-05</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