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21219-2023 i Mörbylånga kommun</w:t>
      </w:r>
    </w:p>
    <w:p>
      <w:r>
        <w:t>Detta klagomål behandlar höga naturvärden i avverkningsanmälan A 21219-2023 i Mörbylånga kommun som inkom 2023-05-16 och omfattar 2,6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21219-2023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6290224, E 595356 i SWEREF 99 TM.</w:t>
      </w:r>
    </w:p>
    <w:p>
      <w:r>
        <w:t>I och inom 24 meter från avverkningsanmälan finns fynd av 20 naturvårdsarter, varav 7 är rödlistade, 7 är fridlysta, 7 är typiska (T) och 10 är signalarter (S): ask (EN), mindre bastardsvärmare (VU), fläckig saffransspindling (NT), munkspindling (NT), olivbrun spindling (NT), svartbrun klaffmätare (NT), sårläka (NT, T), grov baronmossa (S, T), murgröna (S, T), nästrot (S, §8), platt fjädermossa (S, T), purpurknipprot (S, §8), skogsknipprot (S, T, §8), strimspindling (S), traslav (S), tvåblad (S, §8), underviol (S, T), blåsippa (T, §9),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Fläckig saffransspindling (NT) </w:t>
      </w:r>
      <w:r>
        <w:t>växer i ädellövrik skog, ängsbokskog, hässle och på kalktorräng i mosaikmarker där den bildar mykorrhiza med ek, bok och hassel och sällsynt även med solvända (</w:t>
      </w:r>
      <w:r>
        <w:rPr>
          <w:i/>
        </w:rPr>
        <w:t>Helianthemum nummularium</w:t>
      </w:r>
      <w:r>
        <w:t>). Det främsta hotet mot arten är avverkning av dess värdträd. Skydda ädellövskogen och sörj för dess kontinuitet. En långsiktig tillgång till värdträd säkras genom att växtplatserna undantas från avverkning. Fläckig saffransspindling är globalt rödlistad som nära hotad (NT) vilket innebär att Sverige har ett internationellt ansvar för arten (SLU Artdatabanken, 2026; IUCN, 2021).</w:t>
      </w:r>
    </w:p>
    <w:p>
      <w:r>
        <w:rPr>
          <w:b/>
        </w:rPr>
        <w:t xml:space="preserve">Munkspindling (NT) </w:t>
      </w:r>
      <w:r>
        <w:t>är en sällsynt svamp som bildar mykorrhiza med ek och hassel, sällsynt även avenbok, lind och bok i ädellövskog, hässlen, löväng och betad hagmark på kalkrik mark. Arten hotas av förändring av miljön på växtplatserna, t.ex. genom gallring, avverkning eller omföring av lövskog till barrskog. Oskyddade lokaler bör säkerställas eftersom alla lokaler är hemvist även för andra sällsynta svampar. Munkspindling är placerad högst upp i Skogsstyrelsens värdepyramid för bedömning av skog med höga naturvärden (SLU Artdatabanken, 2026; Nitare &amp; Skogsstyrelsen, 2019).</w:t>
      </w:r>
    </w:p>
    <w:p>
      <w:r>
        <w:rPr>
          <w:b/>
        </w:rPr>
        <w:t xml:space="preserve">Olivbrun spindling (NT) </w:t>
      </w:r>
      <w:r>
        <w:t>bildar mykorrhiza med främst hassel, sällsynt även ek, bok och lind i ädellövskog, helst ek- och hasselblandskog på kalkrik mark. Den är överallt en bra signalart som visar på skyddsvärda lövträdsmiljöer med långvarig biologisk kontinuitet av ädellövträd och hassel. Arten hotas av att hävden av lövängar och extensivt betade hassellundar upphör, av att enstaka värdträd avverkas eller av att lövbestånd avverkas eller ersätts med annat trädslag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