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27865-2024 i Mörbylånga kommun</w:t>
      </w:r>
    </w:p>
    <w:p>
      <w:r>
        <w:t>Detta klagomål behandlar höga naturvärden i avverkningsanmälan A 27865-2024 i Mörbylånga kommun som inkom 2024-07-02 och omfattar 0,7 ha.</w:t>
      </w:r>
    </w:p>
    <w:p>
      <w:pPr>
        <w:pStyle w:val="Caption"/>
      </w:pPr>
      <w:r>
        <w:drawing>
          <wp:inline xmlns:a="http://schemas.openxmlformats.org/drawingml/2006/main" xmlns:pic="http://schemas.openxmlformats.org/drawingml/2006/picture">
            <wp:extent cx="5486400" cy="4775619"/>
            <wp:docPr id="1" name="Picture 1"/>
            <wp:cNvGraphicFramePr>
              <a:graphicFrameLocks noChangeAspect="1"/>
            </wp:cNvGraphicFramePr>
            <a:graphic>
              <a:graphicData uri="http://schemas.openxmlformats.org/drawingml/2006/picture">
                <pic:pic>
                  <pic:nvPicPr>
                    <pic:cNvPr id="0" name="A 27865-2024 karta.png"/>
                    <pic:cNvPicPr/>
                  </pic:nvPicPr>
                  <pic:blipFill>
                    <a:blip r:embed="rId16"/>
                    <a:stretch>
                      <a:fillRect/>
                    </a:stretch>
                  </pic:blipFill>
                  <pic:spPr>
                    <a:xfrm>
                      <a:off x="0" y="0"/>
                      <a:ext cx="5486400" cy="4775619"/>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6278871, E 598784 i SWEREF 99 TM.</w:t>
      </w:r>
    </w:p>
    <w:p>
      <w:r>
        <w:t>I och inom 20 meter från avverkningsanmälan finns fynd av 21 naturvårdsarter, varav 10 är rödlistade, 8 är fridlysta, 7 är typiska (T) och 7 är signalarter (S): bergjohannesört (NT), blå slemspindling (NT, T), fjällig taggsvamp s.str. (NT), grönsångare (NT, §4), klasefibbla (NT), krusfrö (NT), solvända (NT), vippärt (NT, T), väpplingblåvinge (NT), ängsskära (NT), diskvaxskivling (S), murgröna (S, T), nästrot (S, §8), skogsknipprot (S, T, §8), strävlosta (S, T), tvåblad (S, §8), underviol (S, T), blåsippa (T, §9), kungsfågel (§4), bredarun (§8) och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 slemspindling (NT)</w:t>
      </w:r>
      <w:r>
        <w:t xml:space="preserve"> är en mykorrhizasvamp som förekommer i kalkgranskogar med välutvecklade mossmattor och ett örtrikt fältskikt. Den växer även på rik mark i ädellövskog under bok, ek. lind och hassel. Växtplatserna har ofta hög luftfuktighet och ligger gärna i anslutning till en bäck eller ett fuktdråg där marken inte blir helt uttorkad under sommaren. Arten signalerar höga naturvärden och växer ofta tillsammans med många andra ovanliga och rödlistade arter. Den totala populationen i landet bedöms ha minskat och väntas fortsätta minska, främst till följd av avverkning av kalkbarrskogar. Blå slemspindling är typisk art för </w:t>
      </w:r>
      <w:r>
        <w:rPr>
          <w:i/>
        </w:rPr>
        <w:t xml:space="preserve">9050 Näringsrik granskog </w:t>
      </w:r>
      <w:r>
        <w:t>(SLU Artdatabanken, 2026;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 xml:space="preserve">Vippärt (NT) </w:t>
      </w:r>
      <w:r>
        <w:t xml:space="preserve">är en kalkgynnad, värmeälskande växt som påträffas i olika ljusöppna rika ädellövskogar och lundar. Ofta växer den i bryn och sydvända sluttningar, gärna på blockrika marker och visar på skydddsvärda skogsmiljöer med långvarig kontinuitet, såväl i rika ädellövskogar som kalkbarrskogar. På blad av främst gökärt men även på vippärt kan den rödlistade fjärilen snedsträckad gökärtsmal (NT) påträffas. Fjärilens larver gör stora, undersidiga blåsminor i bladen av värdväxten. Bladen buktar därmed starkt och är marmorerade på ovansidan, medan minans undersida är silvervit. Fjärilens kokong är ockragul och fäst vid något föremål på marken. Vippärt är typisk art för </w:t>
      </w:r>
      <w:r>
        <w:rPr>
          <w:i/>
        </w:rPr>
        <w:t>9060 Åsbarrskog</w:t>
      </w:r>
      <w:r>
        <w:t xml:space="preserve"> och </w:t>
      </w:r>
      <w:r>
        <w:rPr>
          <w:i/>
        </w:rPr>
        <w:t>1610 Åsöar i Östersjön</w:t>
      </w:r>
      <w:r>
        <w:t xml:space="preserve"> (Nitare &amp; Skogsstyrelsen, 2019; SLU Artdatabanken, 2026).</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Skogsknipprot (§8)</w:t>
      </w:r>
      <w:r>
        <w:t xml:space="preserve"> är fridlyst enligt 8§ artskyddsförordningen och typisk art för </w:t>
      </w:r>
      <w:r>
        <w:rPr>
          <w:i/>
        </w:rPr>
        <w:t>9050 Näringsrik granskog</w:t>
      </w:r>
      <w:r>
        <w:t xml:space="preserve"> (SLU Artdatabanken, 2025).</w:t>
      </w:r>
    </w:p>
    <w:p>
      <w:r>
        <w:rPr>
          <w:b/>
        </w:rPr>
        <w:t xml:space="preserve">Strävlosta </w:t>
      </w:r>
      <w:r>
        <w:t xml:space="preserve">är ett sällsynt och exklusivt lundgräs som växer i extremrika ädellundskogar och lundar, men även i extremrika kalkbarrskogar. Arten är placerad högst upp i Skogsstyrelsens värdepyramid för bedömning av skog med höga naturvärden och på växtplatserna finns normalt många andra rödlistade och hotade arter. Strävlosta är typisk art för </w:t>
      </w:r>
      <w:r>
        <w:rPr>
          <w:i/>
        </w:rPr>
        <w:t xml:space="preserve">9050 Näringsrik granskog, 9020 Nordlig ädellövskog, 9130 Näringsrik bokskog </w:t>
      </w:r>
      <w:r>
        <w:t xml:space="preserve">och </w:t>
      </w:r>
      <w:r>
        <w:rPr>
          <w:i/>
        </w:rPr>
        <w:t>9180 Ädellövskog i branter</w:t>
      </w:r>
      <w:r>
        <w:t xml:space="preserve"> (Nitare &amp; Skogsstyrelsen, 2019; SLU Artdatabanken, 2025).</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21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