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47899-2019 i Mörbylånga kommun</w:t>
      </w:r>
    </w:p>
    <w:p>
      <w:r>
        <w:t>Detta dokument behandlar höga naturvärden i avverkningsanmälan A 47899-2019 i Mörbylånga kommun. Denna avverkningsanmälan inkom 2019-09-17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gulbrunt nejlikfly (VU), rödbent ögonbock (VU), ekträdlöpare (NT), Hemicoelus fulvicornis (NT), mindre ekbock (NT), ekoxe (S, §6),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899-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6277848, E 597417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Rödbent ögonbock (VU)</w:t>
      </w:r>
      <w:r>
        <w:t xml:space="preserve"> är en skalbagge vars larvutveckling sker under barken på nyligen döda, solexponerade grenar och klenare stammar av olika lövträd och buskar, i Sverige ofta hassel och ek men även apel och vildrosor. Främsta hotet är bristen på lämplig ved i kombination med den begränsade utbredningen i sydöstra Sverige. Genom uttag av grenar och stammar av hassel, ek och andra lövträd som biobränsle minskar mängden yngelmaterial. Det är också negativt med rutinmässig röjning av solexponerade lövskogsbryn. På sikt är det också ogynnsamt med igenväxning av tidigare glesa lövbiotoper. Rödbent ögonbock ingår i ett åtgärdsprogram för hotade arter (ÅGP) (SLU Artdatabanken, 2024; Franc, 2013).</w:t>
      </w:r>
    </w:p>
    <w:p>
      <w:pPr>
        <w:pStyle w:val="Heading1"/>
      </w:pPr>
      <w:r>
        <w:t>Fridlysta arter</w:t>
      </w:r>
    </w:p>
    <w:p>
      <w:r>
        <w:t>Följande fridlysta arter har sina livsmiljöer och växtplatser i den avverkningsanmälda skogen: ekoxe (S,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