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21219-2023 i Mörbylånga kommun</w:t>
      </w:r>
    </w:p>
    <w:p>
      <w:r>
        <w:t>Detta dokument behandlar höga naturvärden i avverkningsanmälan A 21219-2023 i Mörbylånga kommun. Denna avverkningsanmälan inkom 2023-05-16 00:00:00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ask (EN), olivbrun spindling (NT), grov baronmossa (S), murgröna (S), nästrot (S, §8), platt fjädermossa (S), purpurknipprot (S, §8), skogsknipprot (S, §8), strimspindling (S), sårläka (S), traslav (S), tvåblad (S, §8), underviol (S), fläcknycklar (§8), blåsippa (§9) och gullviva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0606"/>
            <wp:docPr id="1" name="Picture 1"/>
            <wp:cNvGraphicFramePr>
              <a:graphicFrameLocks noChangeAspect="1"/>
            </wp:cNvGraphicFramePr>
            <a:graphic>
              <a:graphicData uri="http://schemas.openxmlformats.org/drawingml/2006/picture">
                <pic:pic>
                  <pic:nvPicPr>
                    <pic:cNvPr id="0" name="A 21219-2023 karta.png"/>
                    <pic:cNvPicPr/>
                  </pic:nvPicPr>
                  <pic:blipFill>
                    <a:blip r:embed="rId16"/>
                    <a:stretch>
                      <a:fillRect/>
                    </a:stretch>
                  </pic:blipFill>
                  <pic:spPr>
                    <a:xfrm>
                      <a:off x="0" y="0"/>
                      <a:ext cx="5486400" cy="3220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6290224, E 595356 i SWEREF 99 TM.</w:t>
      </w:r>
    </w:p>
    <w:p>
      <w:r>
        <w:rPr>
          <w:b/>
        </w:rPr>
        <w:t xml:space="preserve">Olivbrun spindling (NT) </w:t>
      </w:r>
      <w:r>
        <w:t>bildar mykorrhiza med främst hassel, sällsynt även ek, bok och lind i ädellövskog, helst ek- och hasselblandskog på kalkrik mark. Den är överallt en bra signalart som visar på skyddsvärda lövträdsmiljöer med långvarig biologisk kontinuitet av ädellövträd och hassel. Arten hotas av att hävden av lövängar och extensivt betade hassellundar upphör, av att enstaka värdträd avverkas eller av att lövbestånd avverkas eller ersätts med annat trädslag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pPr>
        <w:pStyle w:val="Heading1"/>
      </w:pPr>
      <w:r>
        <w:t>Fridlysta arter</w:t>
      </w:r>
    </w:p>
    <w:p>
      <w:r>
        <w:t>Följande fridlysta arter har sina livsmiljöer och växtplatser i den avverkningsanmälda skogen: nästrot (S, §8), purpurknipprot (S, §8), skogsknipprot (S, §8), tvåblad (S, §8), fläcknycklar (§8), blåsippa (§9)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