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21214-2023 i Mörbylånga kommun</w:t>
      </w:r>
    </w:p>
    <w:p>
      <w:r>
        <w:t>Detta dokument behandlar höga naturvärden i avverkningsanmälan A 21214-2023 i Mörbylånga kommun. Denna avverkningsanmälan inkom 2023-05-16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mjölspindling (VU), spillkråka (NT, §4), svart askbastborre (NT), tallticka (NT), guldlockmossa (S), hasselticka (S), mindre märgborre (S), murgröna (S), sårläka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567"/>
            <wp:docPr id="1" name="Picture 1"/>
            <wp:cNvGraphicFramePr>
              <a:graphicFrameLocks noChangeAspect="1"/>
            </wp:cNvGraphicFramePr>
            <a:graphic>
              <a:graphicData uri="http://schemas.openxmlformats.org/drawingml/2006/picture">
                <pic:pic>
                  <pic:nvPicPr>
                    <pic:cNvPr id="0" name="A 21214-2023 karta.png"/>
                    <pic:cNvPicPr/>
                  </pic:nvPicPr>
                  <pic:blipFill>
                    <a:blip r:embed="rId16"/>
                    <a:stretch>
                      <a:fillRect/>
                    </a:stretch>
                  </pic:blipFill>
                  <pic:spPr>
                    <a:xfrm>
                      <a:off x="0" y="0"/>
                      <a:ext cx="5486400" cy="2808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6290456, E 595063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Mjölspindling (VU) </w:t>
      </w:r>
      <w:r>
        <w:t>bildar mykorrhiza med ek och hassel i ädellövskog, löväng och hässlen på kalkrik mark. Förändringar av växtmiljön på grund av ändrad markanvändning, t.ex. minskad hävd, avverkning av lövträd eller plantering av barrskog utgör tydliga hot. Kända växtplatser bör bevaras och fortsätta att hävdas. För att gynna arten bör skogsbruk i ädellövskog på kalkrik mark undvikas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