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39627-2026 i Mörbylånga kommun</w:t>
      </w:r>
    </w:p>
    <w:p>
      <w:r>
        <w:t>Denna tillsynsbegäran behandlar höga naturvärden i avverkningsanmälan A 39627-2026 i Mörbylånga kommun som inkom 2026-09-24 och omfattar 7,0 ha.</w:t>
      </w:r>
    </w:p>
    <w:p>
      <w:pPr>
        <w:pStyle w:val="Caption"/>
      </w:pPr>
      <w:r>
        <w:drawing>
          <wp:inline xmlns:a="http://schemas.openxmlformats.org/drawingml/2006/main" xmlns:pic="http://schemas.openxmlformats.org/drawingml/2006/picture">
            <wp:extent cx="5486400" cy="4615363"/>
            <wp:docPr id="1" name="Picture 1"/>
            <wp:cNvGraphicFramePr>
              <a:graphicFrameLocks noChangeAspect="1"/>
            </wp:cNvGraphicFramePr>
            <a:graphic>
              <a:graphicData uri="http://schemas.openxmlformats.org/drawingml/2006/picture">
                <pic:pic>
                  <pic:nvPicPr>
                    <pic:cNvPr id="0" name="A 39627-2026 karta.png"/>
                    <pic:cNvPicPr/>
                  </pic:nvPicPr>
                  <pic:blipFill>
                    <a:blip r:embed="rId16"/>
                    <a:stretch>
                      <a:fillRect/>
                    </a:stretch>
                  </pic:blipFill>
                  <pic:spPr>
                    <a:xfrm>
                      <a:off x="0" y="0"/>
                      <a:ext cx="5486400" cy="4615363"/>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6285378, E 593839 i SWEREF 99 TM.</w:t>
      </w:r>
    </w:p>
    <w:p>
      <w:r>
        <w:t>I och inom 25 meter från avverkningsanmälan finns fynd av 31 naturvårdsarter, varav 16 är rödlistade, 14 är fridlysta, 6 är typiska (T) och 4 är signalarter (S): ask (EN), lundalm (EN), skogsalm (EN), toppjungfrulin (VU), axveronika (NT), backklöver (NT), backtimjan (NT), flentimotej (NT), göktyta (NT, §4), jordtistel (NT), jungfrulin (NT), korskovall (NT), solvända (NT), sädesärla (NT, §4), sårläka (NT, T), vårstarr (NT), ekoxe (S, §6), murgröna (S, T), skogsknipprot (S, T, §8), strävlosta (S, T), blåsippa (T, §9), skogsbingel (T), halsbandsflugsnappare (§4), röd glada (§4), huggorm (§6), skogsödla (§6), vanlig padda (§6), vanlig snok (§6), johannesnycklar (§8), sankt pers nycklar (§8) och gullviva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p>
      <w:r>
        <w:rPr>
          <w:b/>
        </w:rPr>
        <w:t xml:space="preserve">Ekoxe (§6) </w:t>
      </w:r>
      <w:r>
        <w:t>omfattas av EU:s art- och habitatdirektiv och är fridlyst enligt 6 § artskyddsförordningen.</w:t>
      </w:r>
      <w:r>
        <w:rPr>
          <w:b/>
        </w:rPr>
        <w:t xml:space="preserve"> </w:t>
      </w:r>
      <w:r>
        <w:t>Dess larvutveckling sker i och vid stubbar, i lågor med markkontakt och grövre döda rötter av olika lövträd, även i döda rotdelar på levande träd. I Sverige främst funnen i ek men även några gånger i bok, hassel, ask och björk. Arten lever främst i halvöppna miljöer såsom trädklädda hagmarker eller gles skog, gärna i sydsluttningar. Arten påverkas negativt av brist på grova eller gamla träd och det föreligger indikation på eller misstanke om populationsminskning. Minskningen avser kvalitén på artens habitat (SLU Artdatabanken, 2025).</w:t>
      </w:r>
    </w:p>
    <w:p>
      <w:r>
        <w:rPr>
          <w:b/>
        </w:rPr>
        <w:t>Murgröna</w:t>
      </w:r>
      <w:r>
        <w:t xml:space="preserve"> är typisk art för </w:t>
      </w:r>
      <w:r>
        <w:rPr>
          <w:i/>
        </w:rPr>
        <w:t xml:space="preserve">9160 Näringsrik ekskog </w:t>
      </w:r>
      <w:r>
        <w:t>och</w:t>
      </w:r>
      <w:r>
        <w:rPr>
          <w:i/>
        </w:rPr>
        <w:t xml:space="preserve"> 9190 Näringsfattig ekskog </w:t>
      </w:r>
      <w:r>
        <w:t>(SLU Artdatabanken, 2025).</w:t>
      </w:r>
    </w:p>
    <w:p>
      <w:r>
        <w:rPr>
          <w:b/>
        </w:rPr>
        <w:t>Skogsknipprot (§8)</w:t>
      </w:r>
      <w:r>
        <w:t xml:space="preserve"> är fridlyst enligt 8§ artskyddsförordningen och typisk art för </w:t>
      </w:r>
      <w:r>
        <w:rPr>
          <w:i/>
        </w:rPr>
        <w:t>9050 Näringsrik granskog</w:t>
      </w:r>
      <w:r>
        <w:t xml:space="preserve"> (SLU Artdatabanken, 2025).</w:t>
      </w:r>
    </w:p>
    <w:p>
      <w:r>
        <w:rPr>
          <w:b/>
        </w:rPr>
        <w:t xml:space="preserve">Strävlosta </w:t>
      </w:r>
      <w:r>
        <w:t xml:space="preserve">är ett sällsynt och exklusivt lundgräs som växer i extremrika ädellundskogar och lundar, men även i extremrika kalkbarrskogar. Arten är placerad högst upp i Skogsstyrelsens värdepyramid för bedömning av skog med höga naturvärden och på växtplatserna finns normalt många andra rödlistade och hotade arter. Strävlosta är typisk art för </w:t>
      </w:r>
      <w:r>
        <w:rPr>
          <w:i/>
        </w:rPr>
        <w:t xml:space="preserve">9050 Näringsrik granskog, 9020 Nordlig ädellövskog, 9130 Näringsrik bokskog </w:t>
      </w:r>
      <w:r>
        <w:t xml:space="preserve">och </w:t>
      </w:r>
      <w:r>
        <w:rPr>
          <w:i/>
        </w:rPr>
        <w:t>9180 Ädellövskog i branter</w:t>
      </w:r>
      <w:r>
        <w:t xml:space="preserve"> (Nitare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Skogsbingel</w:t>
      </w:r>
      <w:r>
        <w:t xml:space="preserve"> är typisk art för </w:t>
      </w:r>
      <w:r>
        <w:rPr>
          <w:i/>
        </w:rPr>
        <w:t xml:space="preserve">9050 Näringsrik granskog, 9020 Nordlig ädellövskog, 9130 Näringsrik bokskog, 9160 Näringsrik ekskog </w:t>
      </w:r>
      <w:r>
        <w:t>och</w:t>
      </w:r>
      <w:r>
        <w:rPr>
          <w:i/>
        </w:rPr>
        <w:t xml:space="preserve"> 9180 Ädellövskog i branter</w:t>
      </w:r>
      <w:r>
        <w:t>. På skogsbingel kan i lundar och lövskogar den rödlistade arten bingeljordloppa (NT) påträffas. Bingeljordloppans larver äter på värdväxtens rötter. Fullbildade individer påträffas främst under vår och försommar. Den är mycket lokal i sitt uppträdande eftersom arten har svagt utvecklade flygvingar och saknar flygförmåga (SLU Artdatabanken, 2026).</w:t>
      </w:r>
    </w:p>
    <w:p>
      <w:r>
        <w:rPr>
          <w:b/>
        </w:rPr>
        <w:t>Röd glada (§4)</w:t>
      </w:r>
      <w:r>
        <w:t xml:space="preserve"> är fridlyst enligt 4§ artskyddsförordningen och upptagen i bilaga 1 EU:s fågeldirektiv. Den häckar gärna i omväxlande landskap med mosaik av öppna marker och skogar. Tidigare studier har visat en förkärlek för att häcka nära sjöar, och häckningsframgången var också högre hos par som häckade nära vatten. Boet läggs i träd, ofta högt och vanligen nära skogsbryn. Missgynnas av skogliga åtgärder som lämnar boet allt för exponerat, främst genom för smala skyddszoner och för omfattande gallring. Lämna en skyddszon kring boplatser vid avverkning eller andra skogliga åtgärder. Bredden på skyddszonen beror på platsen, men som tumregel ska den ska vara så bred att boplatsen inte är väsentligt mer exponerad för insyn än tidigare. Spara samtliga träd med större risbon, även sådana där boet ser obebott ut. Avstå att avverka äldre lövdominerade bestånd, främst i anslutning till öppen jordbruksmark (SLU Artdatabanken, 2024; Skogsstyrelsen, 2016).</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sårläka (NT, T), murgröna (S, T), skogsknipprot (S, T, §8), strävlosta (S, T), blåsippa (T, §9) och skogsbingel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