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4152-2025 i Mörbylånga kommun</w:t>
      </w:r>
    </w:p>
    <w:p>
      <w:r>
        <w:t>Denna tillsynsbegäran behandlar höga naturvärden i avverkningsanmälan A 4152-2025 i Mörbylånga kommun som inkom 2025-01-28 och omfattar 7,3 ha.</w:t>
      </w:r>
    </w:p>
    <w:p>
      <w:pPr>
        <w:pStyle w:val="Caption"/>
      </w:pPr>
      <w:r>
        <w:drawing>
          <wp:inline xmlns:a="http://schemas.openxmlformats.org/drawingml/2006/main" xmlns:pic="http://schemas.openxmlformats.org/drawingml/2006/picture">
            <wp:extent cx="5486400" cy="5512723"/>
            <wp:docPr id="1" name="Picture 1"/>
            <wp:cNvGraphicFramePr>
              <a:graphicFrameLocks noChangeAspect="1"/>
            </wp:cNvGraphicFramePr>
            <a:graphic>
              <a:graphicData uri="http://schemas.openxmlformats.org/drawingml/2006/picture">
                <pic:pic>
                  <pic:nvPicPr>
                    <pic:cNvPr id="0" name="A 4152-2025 karta.png"/>
                    <pic:cNvPicPr/>
                  </pic:nvPicPr>
                  <pic:blipFill>
                    <a:blip r:embed="rId16"/>
                    <a:stretch>
                      <a:fillRect/>
                    </a:stretch>
                  </pic:blipFill>
                  <pic:spPr>
                    <a:xfrm>
                      <a:off x="0" y="0"/>
                      <a:ext cx="5486400" cy="551272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6276689, E 601395 i SWEREF 99 TM.</w:t>
      </w:r>
    </w:p>
    <w:p>
      <w:r>
        <w:t>I och inom 25 meter från avverkningsanmälan finns fynd av 36 naturvårdsarter, varav 24 är rödlistade, 10 är fridlysta, 7 är typiska (T) och 7 är signalarter (S): naverlönn (CR), fjällig stjälkröksvamp (EN), tofsäxing (EN), knärot (VU, T, §8), mindre bastardsvärmare (VU), ryl (VU, T), axveronika (NT), backtimjan (NT), dubbelbandat ljusmott (NT), flentimotej (NT), grådådra (NT), grönsångare (NT, §4), heddyngbagge (NT), kalkfly (NT), kösa (NT), mellanmätare (NT), mjukdån (NT), poppeltofsskivling (NT), rödlätt lövmätare (NT), sikelsäckmal (NT), slåtterfibbla (NT, T), solvända (NT), svartbrun klaffmätare (NT), vägtornsmätare (NT), blomkålssvamp (S), grönpyrola (S, T), kalktallört (S), murgröna (S, T), skogsknipprot (S, T, §8), tvåblad (S, §8), vit skogslilja (S, §8), spillkråka (T, §4), gröngöling (§4), kungsfågel (§4), grönvit nattviol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18 fyndplatser för knärot registrerade på Artportalen. Figur 2 visar gränserna för buffertzoner på 50 m, som behöver lämnas kring fyndplatserna för att knärotslokalerna inte ska försvinna vid en avverkning. Av det avverkningsanmälda området överlappar 2.63 ha med buffertzonerna och får av detta skäl inte avverkas.</w:t>
      </w:r>
    </w:p>
    <w:p>
      <w:pPr>
        <w:pStyle w:val="Caption"/>
      </w:pPr>
      <w:r>
        <w:drawing>
          <wp:inline xmlns:a="http://schemas.openxmlformats.org/drawingml/2006/main" xmlns:pic="http://schemas.openxmlformats.org/drawingml/2006/picture">
            <wp:extent cx="5486400" cy="4698319"/>
            <wp:docPr id="2" name="Picture 2"/>
            <wp:cNvGraphicFramePr>
              <a:graphicFrameLocks noChangeAspect="1"/>
            </wp:cNvGraphicFramePr>
            <a:graphic>
              <a:graphicData uri="http://schemas.openxmlformats.org/drawingml/2006/picture">
                <pic:pic>
                  <pic:nvPicPr>
                    <pic:cNvPr id="0" name="A 4152-2025 karta knärot.png"/>
                    <pic:cNvPicPr/>
                  </pic:nvPicPr>
                  <pic:blipFill>
                    <a:blip r:embed="rId17"/>
                    <a:stretch>
                      <a:fillRect/>
                    </a:stretch>
                  </pic:blipFill>
                  <pic:spPr>
                    <a:xfrm>
                      <a:off x="0" y="0"/>
                      <a:ext cx="5486400" cy="469831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6276689, E 601395 i SWEREF 99 TM.</w:t>
      </w:r>
    </w:p>
    <w:p>
      <w:r>
        <w:rPr>
          <w:b/>
        </w:rPr>
        <w:t>Ryl (VU)</w:t>
      </w:r>
      <w:r>
        <w:t xml:space="preserve"> påträffas i gamla ljusöppna barrskogar, främst tallskogar på väldränerade och kalkrika jordar med tunna humuslager. Vid skogsbruk måste man ta hänsyn till arten och lokaler bör undantas från kalavverkning, markberedning och skogsgödsling. På lokaler med riklig förekomst av ryl kan den sällsynta bladparasiten rylprick (EN)</w:t>
      </w:r>
      <w:r>
        <w:rPr>
          <w:i/>
        </w:rPr>
        <w:t xml:space="preserve"> </w:t>
      </w:r>
      <w:r>
        <w:t xml:space="preserve">påträffas. Parasiten bildar små svarta prickar på rylens blad. Ryl är typisk art för </w:t>
      </w:r>
      <w:r>
        <w:rPr>
          <w:i/>
        </w:rPr>
        <w:t xml:space="preserve">9010 Taiga </w:t>
      </w:r>
      <w:r>
        <w:t>och</w:t>
      </w:r>
      <w:r>
        <w:rPr>
          <w:i/>
        </w:rPr>
        <w:t xml:space="preserve"> 2180 Trädklädda dyner</w:t>
      </w:r>
      <w:r>
        <w:t xml:space="preserve"> (SLU Artdatabanken, 2026; Nitare &amp; Skogsstyrelsen, 2019).</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 xml:space="preserve">Poppeltofsskivling (NT) </w:t>
      </w:r>
      <w:r>
        <w:t>påträffas på nyss fällda stammar av poppel i parker, trädgårdar och alléer samt även på asp i lövrik blandskog. Borttagning av gamla popplar i parker och alléer liksom att asp missgynnas av skogsbruket är de främsta hoten mot arten. Inom skogsbruket måste aspens betydelse för biodiversiteten i skogarna betonas mer. Asp bör lämnas till fri utveckling i bergbranter, raviner, bryn och åkerholmar (SLU Artdatabanken, 2025).</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Skogsknipprot (§8)</w:t>
      </w:r>
      <w:r>
        <w:t xml:space="preserve"> är fridlyst enligt 8§ artskyddsförordningen och typisk art för </w:t>
      </w:r>
      <w:r>
        <w:rPr>
          <w:i/>
        </w:rPr>
        <w:t>9050 Näringsrik granskog</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ryl (VU, T), slåtterfibbla (NT, T), grönpyrola (S, T), murgröna (S, T), skogsknipprot (S, T, §8)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