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1766-2026 i Mörbylånga kommun</w:t>
      </w:r>
    </w:p>
    <w:p>
      <w:r>
        <w:t>Detta klagomål behandlar höga naturvärden i samrådsanmälan S 1766-2026 i Mörbylånga kommun som inkom 2026-06-16 och omfattar 4,1 ha.</w:t>
      </w:r>
    </w:p>
    <w:p>
      <w:pPr>
        <w:pStyle w:val="Caption"/>
      </w:pPr>
      <w:r>
        <w:drawing>
          <wp:inline xmlns:a="http://schemas.openxmlformats.org/drawingml/2006/main" xmlns:pic="http://schemas.openxmlformats.org/drawingml/2006/picture">
            <wp:extent cx="5171326" cy="5724000"/>
            <wp:docPr id="1" name="Picture 1"/>
            <wp:cNvGraphicFramePr>
              <a:graphicFrameLocks noChangeAspect="1"/>
            </wp:cNvGraphicFramePr>
            <a:graphic>
              <a:graphicData uri="http://schemas.openxmlformats.org/drawingml/2006/picture">
                <pic:pic>
                  <pic:nvPicPr>
                    <pic:cNvPr id="0" name="S 1766-2026 karta.png"/>
                    <pic:cNvPicPr/>
                  </pic:nvPicPr>
                  <pic:blipFill>
                    <a:blip r:embed="rId16"/>
                    <a:stretch>
                      <a:fillRect/>
                    </a:stretch>
                  </pic:blipFill>
                  <pic:spPr>
                    <a:xfrm>
                      <a:off x="0" y="0"/>
                      <a:ext cx="5171326"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6284811, E 597686 i SWEREF 99 TM.</w:t>
      </w:r>
    </w:p>
    <w:p>
      <w:r>
        <w:t>I och inom 24 meter från samrådsanmälan finns fynd av 19 naturvårdsarter, varav 14 är rödlistade, 1 är fridlyst, 6 är typiska (T) och 4 är signalarter (S): ask (EN), fyllitspindling (EN), lundalm (EN), skogsalm (EN), sötdoftande spindling (EN), elastisk spindling (VU), frostspindling (VU), karamellspindling (VU), grisspindling (NT), munkspindling (NT), pilfotsspindling (NT), slottsspindling (NT), vippärt (NT, T), vårärt (NT, T), lindspindling (S), murgröna (S, T), strävlosta (S, T), underviol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Fyllitspindling (EN) </w:t>
      </w:r>
      <w:r>
        <w:t>är en starkt hotad art som bildar mykorrhiza med lind, möjligen även ek och hassel i ädellövskog och mosaikmarker på kalkrik mark. I världen med säkerhet enbart känd under lind i Oslofjorden och på skalgrus på Lammön, Bohuslän samt från Kinnekulle, Västergötland. Artens sällsynthet och den lilla populationsstorleken tillsammans med extremt höga krav på sina växtplatser gör arten mycket känslig för alla typer av förändringar som påverkar de lindskogar där den förekommer. Främsta hotet är bebyggelse och annan exploatering samt skogsbruksåtgärder som exempelvis avverkningar. Arten är så sällsynt att även slumpmässiga orsaker utgör ett hot. Om fyllitspindling påträffas på nya lokaler bör dessa skyddas formellt. Artens växtplatser får inte utsättas för huggningar eller andra kraftiga störningar som förändrar miljön (SLU Artdatabanken, 2026).</w:t>
      </w:r>
    </w:p>
    <w:p>
      <w:r>
        <w:rPr>
          <w:b/>
        </w:rPr>
        <w:t xml:space="preserve">Sötdoftande spindling (EN) </w:t>
      </w:r>
      <w:r>
        <w:t>är en ytterst sällsynt och starkt hotad art som bildar mykorrhiza med ek, bok och hassel, i ädellövskog och löväng på kalkrik mark. Den hotas främst av att dess få växtplatser lätt kan förstöras genom någon form av exploatering. I första hand gäller det avverkning av de värdträd som den är helt beroende av. Kända lokaler bör ges ett juridiskt skydd. Sötdoftande spindling är placerad högst upp i Skogsstyrelsens värdepyramid för bedömning av skog med höga naturvärden och ingår i ett åtgärdsprogram för hotade arter (ÅGP). Den är även globalt rödlistad som nära hotad (NT) vilket innebär att Sverige har ett internationellt ansvar för arten (SLU Artdatabanken, 2024; IUCN, 2019; Nitare &amp; Skogsstyrelsen, 2019; Knutsson, 2009).</w:t>
      </w:r>
    </w:p>
    <w:p>
      <w:r>
        <w:rPr>
          <w:b/>
        </w:rPr>
        <w:t xml:space="preserve">Elastisk spindling (VU) </w:t>
      </w:r>
      <w:r>
        <w:t>bildar mykorrhiza med ädellövträd, troligen främst hassel och lind, i ädellövskog, löväng och barrskog på kalkrik mark. Arten känns igen på den egenartade elastiska hatten. Det främsta hotet mot arten är avverkning av de värdträd som den är helt beroende av. En långsiktig tillgång till värdträd säkras genom att växtplatserna undantas från trakthyggesbruk (SLU Artdatabanken, 2026).</w:t>
      </w:r>
    </w:p>
    <w:p>
      <w:r>
        <w:rPr>
          <w:b/>
        </w:rPr>
        <w:t xml:space="preserve">Frostspindling (VU) </w:t>
      </w:r>
      <w:r>
        <w:t>bildar mykorrhiza med främst hassel, ek, avenbok, lind och bok. Växer i gles ädellövskog, hässlen, löväng och hagmark på kalkrik mark på exklusiva lokaler i södra och mellersta Sveriges kalktrakter. Det främsta hotet mot arten är avverkning av de värdträd som den är helt beroende av. De få kända lokalerna bör ges ett juridiskt skydd (SLU Artdatabanken, 2026).</w:t>
      </w:r>
    </w:p>
    <w:p>
      <w:r>
        <w:rPr>
          <w:b/>
        </w:rPr>
        <w:t xml:space="preserve">Karamellspindling (VU) </w:t>
      </w:r>
      <w:r>
        <w:t>är en mycket sällsynt art som</w:t>
      </w:r>
      <w:r>
        <w:rPr>
          <w:b/>
        </w:rPr>
        <w:t xml:space="preserve"> </w:t>
      </w:r>
      <w:r>
        <w:t>bildar mykorrhiza med bok, avenbok, lind och ev. ek i ädellövskog på kalkrik mark. Svampen har en mycket karaktäristisk sötaktig doft som påminner om karameller, citrusblommor eller schersmin. Avverkning, gallring eller andra skogsbruksåtgärder är de största hoten mot arten. Samtliga kända växtplatser av arten bör skyddas genom områdesskydd. Karamellspindling är placerad högst upp i Skogsstyrelsens värdepyramid för bedömning av skog med höga naturvärden (SLU Artdatabanken, 2024; Nitare &amp; Skogsstyrelsen, 2019).</w:t>
      </w:r>
    </w:p>
    <w:p>
      <w:r>
        <w:rPr>
          <w:b/>
        </w:rPr>
        <w:t xml:space="preserve">Grisspindling (NT) </w:t>
      </w:r>
      <w:r>
        <w:t>är en värmegynnad art som bildar mykorrhiza med ek och hassel, sällsynt även bok och lind. Förekommer på torr, kalkrik mark i ek- och hasselblandskog, hässlen, samt löväng och hagmark. Alla lokaler måste säkerställas och hävden måste fortsätta på traditionellt sätt. Trädbärande, kulturbetingad gräsmark som inte gödslats har stora naturvärden och för att gynna grisspindling och flera andra svampar bör sådana områden bibehållas i största möjliga utsträckning (SLU Artdatabanken, 2026).</w:t>
      </w:r>
    </w:p>
    <w:p>
      <w:r>
        <w:rPr>
          <w:b/>
        </w:rPr>
        <w:t xml:space="preserve">Munkspindling (NT) </w:t>
      </w:r>
      <w:r>
        <w:t>är en sällsynt svamp som bildar mykorrhiza med ek och hassel, sällsynt även avenbok, lind och bok i ädellövskog, hässlen, löväng och betad hagmark på kalkrik mark. Arten hotas av förändring av miljön på växtplatserna, t.ex. genom gallring, avverkning eller omföring av lövskog till barrskog. Oskyddade lokaler bör säkerställas eftersom alla lokaler är hemvist även för andra sällsynta svampar. Munkspindling är placerad högst upp i Skogsstyrelsens värdepyramid för bedömning av skog med höga naturvärden (SLU Artdatabanken, 2026; Nitare &amp; Skogsstyrelsen, 2019).</w:t>
      </w:r>
    </w:p>
    <w:p>
      <w:r>
        <w:rPr>
          <w:b/>
        </w:rPr>
        <w:t xml:space="preserve">Pilfotsspindling (NT) </w:t>
      </w:r>
      <w:r>
        <w:t>är en mycket sällsynt art som bildar mykorrhiza med främst ek, sällsynt även hassel, bok och lind i ängsekskog, hässlen, löväng och blandad ädellövskog på kalkrik mark. Kalavverkning och gallring är de främsta hoten. Arten är så sällsynt att även mindre ingrepp i miljön på de fläckar där den förekommer, t.ex. gallring som medför att mykorrhiza-partnern avlägsnas, kan innebära att den försvinner. Om arten påträffas utanför naturreservat bör även dessa platser säkerställas. Arten kan långsiktigt gynnas av att fler områden med ädellövskog på kalkrik mark bevaras och att skogsbruk där helt undviks (SLU Artdatabanken, 2026).</w:t>
      </w:r>
    </w:p>
    <w:p>
      <w:r>
        <w:rPr>
          <w:b/>
        </w:rPr>
        <w:t>Slottsspindling (NT)</w:t>
      </w:r>
      <w:r>
        <w:t xml:space="preserve"> bildar mykorrhiza med ek, bok och hassel i ädellövskog, bokskog och hässlen på torr och kalkrik mark. Kalavverkning, kraftig gallring eller andra förändringar av miljön på växtplatserna utgör det främsta hoten. För växtplatser som idag saknar skydd bör ett sådant övervägas. För att generellt sett gynna arten bör ädellövskog på kalkrik mark brukas försiktigt eftersom biotopen är ovanlig och hemvist för ett stort antal hotade arter (SLU Artdatabanken, 2024).</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19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