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461-2023 i Mörbylånga kommun</w:t>
      </w:r>
    </w:p>
    <w:p>
      <w:r>
        <w:t>Detta klagomål behandlar höga naturvärden i samrådsanmälan S 461-2023 i Mörbylånga kommun som inkom 2023-02-07 och omfattar 7,4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S 461-2023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6277716, E 592515 i SWEREF 99 TM.</w:t>
      </w:r>
    </w:p>
    <w:p>
      <w:r>
        <w:t>I och inom 20 meter från samrådsanmälan finns fynd av 50 naturvårdsarter, varav 20 är rödlistade, 25 är fridlysta, 10 är typiska (T) och 12 är signalarter (S): järnek (CR), ask (EN), lundalm (EN), skogsalm (EN), skogsgås (VU, §4), sommarsopp (VU), stare (VU, §4), brunlångöra (NT, §4a), duvhök (NT, §4), ekticka (NT, T), enbandad brunbagge (NT), etternässla (NT), gulsparv (NT, §4), Hemicoelus fulvicornis (NT), hålnunneört (NT, T), knottrig rottryffel (NT), nordfladdermus (NT, §4a), sydspärgel (NT), turkduva (NT, §4), åkerranunkel (NT), droppklibbskivling (S), ekoxe (S, §6), grå skärelav (S), guldlockmossa (S, T), gulfotshätta (S), gulpudrad spiklav (S, T), hässleklocka (S, T), liten stinksvamp (S), murgröna (S, T), nästrot (S, §8), scharlakansskål (S), tvåblad (S, §8), blåsippa (T, §9), gulsippa (T), hässlebrodd (T), vitsippa (T), dvärgpipistrell (§4a), halsbandsflugsnappare (§4), havsörn (§4), långbensgroda (§4a), röd glada (§4), större brunfladdermus (§4a), större vattensalamander (§4a), sångsvan (§4), trana (§4), mindre vattensalamander (§6), vanlig padda (§6), vanlig snok (§6),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Sommarsopp (VU) </w:t>
      </w:r>
      <w:r>
        <w:t>är en värmekrävande art som bildar mykorrhiza med ek och bok, på kalkrik mark i ädellövskog, löväng, ekrik hagmark och parkmiljö. Den är placerad högst upp i Skogsstyrelsens värdepyramid för bedömning av skog med höga naturvärden. Skogsbruksåtgärder på växtplatser bör undvikas och bestånd där arten förekommer bör helst bibehålla sin trädslagsblandning och åldersstruktur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Enbandad brunbagge (NT)</w:t>
      </w:r>
      <w:r>
        <w:t xml:space="preserve"> är en skalbagge vars larvutveckling sker i fuktig, vitrötad ved i grenar och klena stammar av olika lövträd, främst hassel, al, avenbok, bok, hagtorn, klibbal och vildapel. Oftast i ved som ligger inbäddad i lövförna, även i gamla, starkt murkna stubbar. Skalbaggen övervintrar i puppkammaren i veden. Arten påverkas negativt av brist på död ved och det föreligger indikation på eller misstanke om populationsminskning. Minskningen avser kvalitén på artens habitat (SLU Artdatabanken, 2026).</w:t>
      </w:r>
    </w:p>
    <w:p>
      <w:r>
        <w:rPr>
          <w:b/>
          <w:i/>
        </w:rPr>
        <w:t xml:space="preserve">Hemicoelus fulvicornis </w:t>
      </w:r>
      <w:r>
        <w:rPr>
          <w:b/>
        </w:rPr>
        <w:t xml:space="preserve">(NT) </w:t>
      </w:r>
      <w:r>
        <w:t>är en skalbagge vars larvutveckling sker i hård och torr, död ved av olika lövträd, t.ex. poppel, viden, hassel, hagtorn, avenbok, lönn och lind. Främst i grenar och tunna stammar av stående, döda träd, men även i skadade stampartier på levande träd. Fullbildade skalbaggar är kvällsaktiva, och påträffas under högsommaren på angripna stamdelar. Arten påverkas negativt av brist på död ved och det föreligger indikation på eller misstanke om populationsminskning. Minskningen avser kvalitén på artens habitat (SLU Artdatabanken, 2025).</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Gulfotshätta </w:t>
      </w:r>
      <w:r>
        <w:t>signalerar lövskogar med höga naturvärden. På lokalerna finns oftast en rik lundflora samt många andra ovanliga och rödlistade arter. Växtmiljön utgörs normalt av näringsrika lövskogar i sena, naturskogslika successionsstadier där det finns rikligt med död ved. Växtplatserna har nästan alltid en långvarig ekologisk kontinuitet som lövträdsbevuxen mark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Gulsippa</w:t>
      </w:r>
      <w:r>
        <w:t xml:space="preserve"> är typisk art för </w:t>
      </w:r>
      <w:r>
        <w:rPr>
          <w:i/>
        </w:rPr>
        <w:t xml:space="preserve">9130 Näringsrik bokskog </w:t>
      </w:r>
      <w:r>
        <w:t xml:space="preserve">och </w:t>
      </w:r>
      <w:r>
        <w:rPr>
          <w:i/>
        </w:rPr>
        <w:t>9160 Näringsrik ekskog</w:t>
      </w:r>
      <w:r>
        <w:t xml:space="preserve"> (SLU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Vitsippa</w:t>
      </w:r>
      <w:r>
        <w:t xml:space="preserve"> är typisk art för </w:t>
      </w:r>
      <w:r>
        <w:rPr>
          <w:i/>
        </w:rPr>
        <w:t xml:space="preserve">9040 Fjällbjörkskog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50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