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43702-2025 i Mörbylånga kommun</w:t>
      </w:r>
    </w:p>
    <w:p>
      <w:r>
        <w:t>Denna tillsynsbegäran behandlar höga naturvärden i avverkningsanmälan A 43702-2025 i Mörbylånga kommun som inkom 2025-09-12 och omfattar 2,6 ha.</w:t>
      </w:r>
    </w:p>
    <w:p>
      <w:pPr>
        <w:pStyle w:val="Caption"/>
      </w:pPr>
      <w:r>
        <w:drawing>
          <wp:inline xmlns:a="http://schemas.openxmlformats.org/drawingml/2006/main" xmlns:pic="http://schemas.openxmlformats.org/drawingml/2006/picture">
            <wp:extent cx="5222412" cy="5724000"/>
            <wp:docPr id="1" name="Picture 1"/>
            <wp:cNvGraphicFramePr>
              <a:graphicFrameLocks noChangeAspect="1"/>
            </wp:cNvGraphicFramePr>
            <a:graphic>
              <a:graphicData uri="http://schemas.openxmlformats.org/drawingml/2006/picture">
                <pic:pic>
                  <pic:nvPicPr>
                    <pic:cNvPr id="0" name="A 43702-2025 karta.png"/>
                    <pic:cNvPicPr/>
                  </pic:nvPicPr>
                  <pic:blipFill>
                    <a:blip r:embed="rId16"/>
                    <a:stretch>
                      <a:fillRect/>
                    </a:stretch>
                  </pic:blipFill>
                  <pic:spPr>
                    <a:xfrm>
                      <a:off x="0" y="0"/>
                      <a:ext cx="5222412" cy="5724000"/>
                    </a:xfrm>
                    <a:prstGeom prst="rect"/>
                  </pic:spPr>
                </pic:pic>
              </a:graphicData>
            </a:graphic>
          </wp:inline>
        </w:drawing>
      </w:r>
    </w:p>
    <w:p>
      <w:pPr>
        <w:pStyle w:val="Caption"/>
        <w:spacing w:after="240"/>
      </w:pPr>
      <w:r>
        <w:t>Figur 1. Fyndplatser för naturvårdsarter i och inom 7 meter från avverkningsanmälan. Markörer utan svart kant är placerade på fyndplatsen. Markörer med svart kant är placerade vid sidan av fyndplatsen och har ett svart streck som visar fyndplatsens exakta position. Kartans mittpunktskoordinat är N 6277979, E 598169 i SWEREF 99 TM.</w:t>
      </w:r>
    </w:p>
    <w:p>
      <w:r>
        <w:t>I och inom 7 meter från avverkningsanmälan finns fynd av 3 naturvårdsarter, varav 1 är rödlistad, 3 är typiska (T) och 2 är signalarter (S): sårläka (NT, T), murgröna (S, 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Sårläka (NT)</w:t>
      </w:r>
      <w:r>
        <w:t xml:space="preserve"> växer på mullrik mark i skuggiga eller halvskuggiga lövskogar och lundar men också i örtrika kalkbarrskogar. Arten ingår i en exklusiv lundflora som bara uppträder i de allra rikaste kalkbarrskogarna söder om den biologiska norrlandsgränsen. I ädellövskogar och lundar är den också knuten till områden med en mycket rik mångfald av naturvårdsarter. Enligt Riksskogstaxeringens data förefaller den ha minskat kraftigt (&gt;50%) vilket troligen kan förklaras av det storskaliga skogsbruket med kalhyggen. Sårläka är typisk art för </w:t>
      </w:r>
      <w:r>
        <w:rPr>
          <w:i/>
        </w:rPr>
        <w:t xml:space="preserve">9050 Näringsrik granskog, 9020 Nordlig ädellövskog, 9130 Näringsrik bokskog </w:t>
      </w:r>
      <w:r>
        <w:t xml:space="preserve">och </w:t>
      </w:r>
      <w:r>
        <w:rPr>
          <w:i/>
        </w:rPr>
        <w:t>9160 Näringsrik ekskog</w:t>
      </w:r>
      <w:r>
        <w:t xml:space="preserve"> samt värdväxt för den rödlistade fjärilen sårläkeplattmal (NT) (SLU Artdatabanken, 2026; Nitare &amp; Skogsstyrelsen, 2019).</w:t>
      </w:r>
    </w:p>
    <w:p>
      <w:r>
        <w:rPr>
          <w:b/>
        </w:rPr>
        <w:t>Murgröna</w:t>
      </w:r>
      <w:r>
        <w:t xml:space="preserve"> är typisk art för </w:t>
      </w:r>
      <w:r>
        <w:rPr>
          <w:i/>
        </w:rPr>
        <w:t xml:space="preserve">9160 Näringsrik ekskog </w:t>
      </w:r>
      <w:r>
        <w:t>och</w:t>
      </w:r>
      <w:r>
        <w:rPr>
          <w:i/>
        </w:rPr>
        <w:t xml:space="preserve"> 9190 Näringsfattig ekskog </w:t>
      </w:r>
      <w:r>
        <w:t>(SLU Artdatabanken, 2025).</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