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klagomål behandlar höga naturvärden i avverkningsanmälan A 52906-2021 i Mörbylånga kommun som inkom 2021-09-28 och omfattar 2,1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6285812, E 597608 i SWEREF 99 TM.</w:t>
      </w:r>
    </w:p>
    <w:p>
      <w:r>
        <w:t>I och inom 25 meter från avverkningsanmälan finns fynd av 11 naturvårdsarter, varav 7 är rödlistade, 5 är fridlysta, 2 är typiska (T) och 2 är signalarter (S): beryllspindling (EN), elastisk spindling (VU), grönkantad spindling (VU), gulprickig vaxskivling (NT), gulsparv (NT, §4), järnsparv (NT, §4), rödvingetrast (NT, §4), lindspindling (S), murgröna (S, T), blåsippa (T, §9)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Beryllspindling (EN) </w:t>
      </w:r>
      <w:r>
        <w:t>är en ytterst sällsynt och starkt hotad svamp som bildar mykorrhiza med hassel och ev. även andra ädellövträd på kalkrik mark. På grund av att de kända bestånden av denna art är så små kan även begränsade förändringar av miljön utgöra ett potentiellt hot. Dess få växtplatser kan lätt förstöras genom slutavverkning eller någon form av exploatering. Alla kända växtplatser bör ges ett juridiskt skydd så att inte värdträden riskerar att bli avverkade eller att andra slumpbetonade åtgärder som påverkar miljön kommer till stånd. Beryllspindling är placerad högst upp i Skogsstyrelsens värdepyramid för bedömning av skog med höga naturvärden och globalt rödlistad som starkt hotad (EN) vilket innebär att Sverige har ett internationellt ansvar för arten (SLU Artdatabanken, 2024; IUCN, 2019; Nitare &amp; Skogsstyrelsen, 2019).</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