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4152-2025 i Mörbylånga kommun</w:t>
      </w:r>
    </w:p>
    <w:p>
      <w:r>
        <w:t>Detta dokument behandlar höga naturvärden i avverkningsanmälan A 4152-2025 i Mörbylånga kommun. Denna avverkningsanmälan inkom 2025-01-28 09:07:53 och omfattar 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33 naturvårdsarter hittats: naverlönn (CR), ryl (EN), tofsäxing (EN), knärot (VU, §8), åkervindefly (VU), axveronika (NT), backtimjan (NT), dubbelbandat ljusmott (NT), flentimotej (NT), fågelarv (NT), grådådra (NT), grönsångare (NT, §4), heddyngbagge (NT), kalkfly (NT), kösa (NT), mellanmätare (NT), mindre bastardsvärmare (NT), mjukdån (NT), rödlätt lövmätare (NT), sikelsäckmal (NT), slåtterfibbla (NT), solvända (NT), spillkråka (NT, §4), svartbrun klaffmätare (NT), vägtornsmätare (NT), blomkålssvamp (S), grönpyrola (S), kalktallört (S), murgröna (S), skogsknipprot (S, §8), vit skogslilja (S, §8), grönvit nattviol (§8) och revlummer (§9). Av dessa är 25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5080"/>
            <wp:docPr id="1" name="Picture 1"/>
            <wp:cNvGraphicFramePr>
              <a:graphicFrameLocks noChangeAspect="1"/>
            </wp:cNvGraphicFramePr>
            <a:graphic>
              <a:graphicData uri="http://schemas.openxmlformats.org/drawingml/2006/picture">
                <pic:pic>
                  <pic:nvPicPr>
                    <pic:cNvPr id="0" name="A 4152-2025 karta.png"/>
                    <pic:cNvPicPr/>
                  </pic:nvPicPr>
                  <pic:blipFill>
                    <a:blip r:embed="rId16"/>
                    <a:stretch>
                      <a:fillRect/>
                    </a:stretch>
                  </pic:blipFill>
                  <pic:spPr>
                    <a:xfrm>
                      <a:off x="0" y="0"/>
                      <a:ext cx="5486400" cy="35950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6276689, E 601395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w:t>
      </w:r>
      <w:r>
        <w:rPr>
          <w:i/>
        </w:rPr>
        <w:t xml:space="preserve">Mycosphaerella chimaphilae </w:t>
      </w:r>
      <w:r>
        <w:t>(EN)</w:t>
      </w:r>
      <w:r>
        <w:rPr>
          <w:i/>
        </w:rPr>
        <w:t xml:space="preserve"> </w:t>
      </w:r>
      <w:r>
        <w:t>påträffas. Parasiten bildar små svarta prickar på rylens blad (SLU Artdatabanken, 2024; Nitare &amp; Skogsstyrelsen, 2019).</w:t>
      </w:r>
    </w:p>
    <w:p>
      <w:pPr>
        <w:pStyle w:val="Heading1"/>
      </w:pPr>
      <w:r>
        <w:t>Fridlysta arter</w:t>
      </w:r>
    </w:p>
    <w:p>
      <w:r>
        <w:t>Följande fridlysta arter har sina livsmiljöer och växtplatser i den avverkningsanmälda skogen: knärot (VU, §8), grönsångare (NT, §4), spillkråka (NT, §4), skogsknipprot (S, §8), vit skogslilja (S, §8), grönvit nattviol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2.52 ha med buffertzonerna och får av detta skäl inte avverkas.</w:t>
      </w:r>
    </w:p>
    <w:p>
      <w:pPr>
        <w:pStyle w:val="Caption"/>
      </w:pPr>
      <w:r>
        <w:drawing>
          <wp:inline xmlns:a="http://schemas.openxmlformats.org/drawingml/2006/main" xmlns:pic="http://schemas.openxmlformats.org/drawingml/2006/picture">
            <wp:extent cx="5486400" cy="4281318"/>
            <wp:docPr id="2" name="Picture 2"/>
            <wp:cNvGraphicFramePr>
              <a:graphicFrameLocks noChangeAspect="1"/>
            </wp:cNvGraphicFramePr>
            <a:graphic>
              <a:graphicData uri="http://schemas.openxmlformats.org/drawingml/2006/picture">
                <pic:pic>
                  <pic:nvPicPr>
                    <pic:cNvPr id="0" name="A 4152-2025 karta knärot.png"/>
                    <pic:cNvPicPr/>
                  </pic:nvPicPr>
                  <pic:blipFill>
                    <a:blip r:embed="rId17"/>
                    <a:stretch>
                      <a:fillRect/>
                    </a:stretch>
                  </pic:blipFill>
                  <pic:spPr>
                    <a:xfrm>
                      <a:off x="0" y="0"/>
                      <a:ext cx="5486400" cy="42813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6276689, E 601395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33 naturvårdsarter varav 25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