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2742-2024 i Hultsfreds kommun</w:t>
      </w:r>
    </w:p>
    <w:p>
      <w:r>
        <w:t>Denna tillsynsbegäran behandlar höga naturvärden i samrådsanmälan S 2742-2024 i Hultsfreds kommun som inkom 2024-07-11 och omfattar 10,9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S 2742-2024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6350902, E 548163 i SWEREF 99 TM.</w:t>
      </w:r>
    </w:p>
    <w:p>
      <w:r>
        <w:t>I och inom 16 meter från samrådsanmälan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796690"/>
            <wp:docPr id="2" name="Picture 2"/>
            <wp:cNvGraphicFramePr>
              <a:graphicFrameLocks noChangeAspect="1"/>
            </wp:cNvGraphicFramePr>
            <a:graphic>
              <a:graphicData uri="http://schemas.openxmlformats.org/drawingml/2006/picture">
                <pic:pic>
                  <pic:nvPicPr>
                    <pic:cNvPr id="0" name="S 2742-2024 karta knärot.png"/>
                    <pic:cNvPicPr/>
                  </pic:nvPicPr>
                  <pic:blipFill>
                    <a:blip r:embed="rId17"/>
                    <a:stretch>
                      <a:fillRect/>
                    </a:stretch>
                  </pic:blipFill>
                  <pic:spPr>
                    <a:xfrm>
                      <a:off x="0" y="0"/>
                      <a:ext cx="5486400" cy="67966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6350902, E 548163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