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40302-2022 i Hultsfreds kommun</w:t>
      </w:r>
    </w:p>
    <w:p>
      <w:r>
        <w:t>Detta dokument behandlar höga naturvärden i avverkningsanmälan A 40302-2022 i Hultsfreds kommun. Denna avverkningsanmälan inkom 2022-09-18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brunlångöra (NT, §4a), nordfladdermus (NT, §4a) och dvärgpipistrell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40302-2022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6357399, E 540659 i SWEREF 99 TM.</w:t>
      </w:r>
    </w:p>
    <w:p>
      <w:pPr>
        <w:pStyle w:val="Heading1"/>
      </w:pPr>
      <w:r>
        <w:t>Fridlysta arter</w:t>
      </w:r>
    </w:p>
    <w:p>
      <w:r>
        <w:t>Följande fridlysta arter har sina livsmiljöer och växtplatser i den avverkningsanmälda skogen: brunlångöra (NT, §4a), nordfladdermus (NT, §4a) och dvärgpipistrell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