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6313-2019 i Hultsfreds kommun</w:t>
      </w:r>
    </w:p>
    <w:p>
      <w:r>
        <w:t>Detta dokument behandlar höga naturvärden i avverkningsanmälan A 6313-2019 i Hultsfreds kommun. Denna avverkningsanmälan inkom 2019-01-28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knärot (VU, §8), spillkråka (NT, §4) och bronshjon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56678"/>
            <wp:docPr id="1" name="Picture 1"/>
            <wp:cNvGraphicFramePr>
              <a:graphicFrameLocks noChangeAspect="1"/>
            </wp:cNvGraphicFramePr>
            <a:graphic>
              <a:graphicData uri="http://schemas.openxmlformats.org/drawingml/2006/picture">
                <pic:pic>
                  <pic:nvPicPr>
                    <pic:cNvPr id="0" name="A 6313-2019 karta.png"/>
                    <pic:cNvPicPr/>
                  </pic:nvPicPr>
                  <pic:blipFill>
                    <a:blip r:embed="rId16"/>
                    <a:stretch>
                      <a:fillRect/>
                    </a:stretch>
                  </pic:blipFill>
                  <pic:spPr>
                    <a:xfrm>
                      <a:off x="0" y="0"/>
                      <a:ext cx="5486400" cy="41566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6359243, E 552326 i SWEREF 99 TM.</w:t>
      </w:r>
    </w:p>
    <w:p>
      <w:pPr>
        <w:pStyle w:val="Heading1"/>
      </w:pPr>
      <w:r>
        <w:t>Fridlysta arter</w:t>
      </w:r>
    </w:p>
    <w:p>
      <w:r>
        <w:t>Följande fridlysta arter har sina livsmiljöer och växtplatser i den avverkningsanmälda skogen: knärot (VU, §8) och spillkråka (NT, §4).</w:t>
      </w:r>
      <w:r>
        <w:t xml:space="preserve"> I BILAGA 1 finns information om ekologi samt krav på livsmiljö hos fridlysta arter.</w:t>
      </w:r>
    </w:p>
    <w:p>
      <w:r>
        <w:t>I det avverkningsanmälda området finns 1 fyndplatser för knärot registrerade på Artportalen. För att knärotslokaler inte ska försvinna vid avverkning krävs att en buffertzon på 50 m lämnas kring samtliga fyndplatser. Figur 2 visar gränserna för dessa buffertzoner.</w:t>
      </w:r>
    </w:p>
    <w:p>
      <w:pPr>
        <w:pStyle w:val="Caption"/>
      </w:pPr>
      <w:r>
        <w:drawing>
          <wp:inline xmlns:a="http://schemas.openxmlformats.org/drawingml/2006/main" xmlns:pic="http://schemas.openxmlformats.org/drawingml/2006/picture">
            <wp:extent cx="5486400" cy="4778766"/>
            <wp:docPr id="2" name="Picture 2"/>
            <wp:cNvGraphicFramePr>
              <a:graphicFrameLocks noChangeAspect="1"/>
            </wp:cNvGraphicFramePr>
            <a:graphic>
              <a:graphicData uri="http://schemas.openxmlformats.org/drawingml/2006/picture">
                <pic:pic>
                  <pic:nvPicPr>
                    <pic:cNvPr id="0" name="A 6313-2019 karta knärot.png"/>
                    <pic:cNvPicPr/>
                  </pic:nvPicPr>
                  <pic:blipFill>
                    <a:blip r:embed="rId17"/>
                    <a:stretch>
                      <a:fillRect/>
                    </a:stretch>
                  </pic:blipFill>
                  <pic:spPr>
                    <a:xfrm>
                      <a:off x="0" y="0"/>
                      <a:ext cx="5486400" cy="4778766"/>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6359243, E 552326 i SWEREF 99 TM.</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