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57052-2024 i Hultsfreds kommun</w:t>
      </w:r>
    </w:p>
    <w:p>
      <w:r>
        <w:t>Detta klagomål behandlar höga naturvärden i avverkningsanmälan A 57052-2024 i Hultsfreds kommun som inkom 2024-12-03 och omfattar 0,6 ha.</w:t>
      </w:r>
    </w:p>
    <w:p>
      <w:pPr>
        <w:pStyle w:val="Caption"/>
      </w:pPr>
      <w:r>
        <w:drawing>
          <wp:inline xmlns:a="http://schemas.openxmlformats.org/drawingml/2006/main" xmlns:pic="http://schemas.openxmlformats.org/drawingml/2006/picture">
            <wp:extent cx="5486400" cy="4676457"/>
            <wp:docPr id="1" name="Picture 1"/>
            <wp:cNvGraphicFramePr>
              <a:graphicFrameLocks noChangeAspect="1"/>
            </wp:cNvGraphicFramePr>
            <a:graphic>
              <a:graphicData uri="http://schemas.openxmlformats.org/drawingml/2006/picture">
                <pic:pic>
                  <pic:nvPicPr>
                    <pic:cNvPr id="0" name="A 57052-2024 karta.png"/>
                    <pic:cNvPicPr/>
                  </pic:nvPicPr>
                  <pic:blipFill>
                    <a:blip r:embed="rId16"/>
                    <a:stretch>
                      <a:fillRect/>
                    </a:stretch>
                  </pic:blipFill>
                  <pic:spPr>
                    <a:xfrm>
                      <a:off x="0" y="0"/>
                      <a:ext cx="5486400" cy="4676457"/>
                    </a:xfrm>
                    <a:prstGeom prst="rect"/>
                  </pic:spPr>
                </pic:pic>
              </a:graphicData>
            </a:graphic>
          </wp:inline>
        </w:drawing>
      </w:r>
    </w:p>
    <w:p>
      <w:pPr>
        <w:pStyle w:val="Caption"/>
        <w:spacing w:after="240"/>
      </w:pPr>
      <w:r>
        <w:t>Figur 1. Fyndplatser för naturvårdsarter i och inom 19 meter från avverkningsanmälan. Markörer utan svart kant är placerade på fyndplatsen. Markörer med svart kant är placerade vid sidan av fyndplatsen och har ett svart streck som visar fyndplatsens exakta position. Kartans mittpunktskoordinat är N 6356771, E 532400 i SWEREF 99 TM.</w:t>
      </w:r>
    </w:p>
    <w:p>
      <w:r>
        <w:t>I och inom 19 meter från avverkningsanmälan finns fynd av 2 naturvårdsarter, varav 2 är fridlysta, 2 är typiska (T) och 1 är signalart (S): plattlummer (S, T, §9) och blåsippa (T,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0 fyndplatser för knärot registrerade på Artportalen. Figur 2 visar gränserna för buffertzoner på 50 m, som behöver lämnas kring fyndplatserna för att knärotslokalerna inte ska försvinna vid en avverkning. Av det avverkningsanmälda området överlappar 0.01 ha med buffertzonerna och får av detta skäl inte avverkas.</w:t>
      </w:r>
    </w:p>
    <w:p>
      <w:pPr>
        <w:pStyle w:val="Caption"/>
      </w:pPr>
      <w:r>
        <w:drawing>
          <wp:inline xmlns:a="http://schemas.openxmlformats.org/drawingml/2006/main" xmlns:pic="http://schemas.openxmlformats.org/drawingml/2006/picture">
            <wp:extent cx="5486400" cy="5724426"/>
            <wp:docPr id="2" name="Picture 2"/>
            <wp:cNvGraphicFramePr>
              <a:graphicFrameLocks noChangeAspect="1"/>
            </wp:cNvGraphicFramePr>
            <a:graphic>
              <a:graphicData uri="http://schemas.openxmlformats.org/drawingml/2006/picture">
                <pic:pic>
                  <pic:nvPicPr>
                    <pic:cNvPr id="0" name="A 57052-2024 karta knärot.png"/>
                    <pic:cNvPicPr/>
                  </pic:nvPicPr>
                  <pic:blipFill>
                    <a:blip r:embed="rId17"/>
                    <a:stretch>
                      <a:fillRect/>
                    </a:stretch>
                  </pic:blipFill>
                  <pic:spPr>
                    <a:xfrm>
                      <a:off x="0" y="0"/>
                      <a:ext cx="5486400" cy="5724426"/>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6356771, E 532400 i SWEREF 99 TM.</w:t>
      </w:r>
    </w:p>
    <w:p>
      <w:r>
        <w:rPr>
          <w:b/>
        </w:rPr>
        <w:t>Plattlummer (§9)</w:t>
      </w:r>
      <w:r>
        <w:t xml:space="preserve"> växer främst i ljusöppna sandtallskogar eller annan gles, torr och brandpräglad hedbarrskog. Den är mest frekvent i olika typer av naturskogar och kontinuitetsskogar och missgynnas markant av slutavverkning och maskinell markberedning. Söder ut i landet förekommer de närstående arterna cypresslummer (EN, §8) och mellanlummer (NT, §9), vilka båda omfattas av EU:s art- och habitatdirektiv. Plattlummer är typisk art för </w:t>
      </w:r>
      <w:r>
        <w:rPr>
          <w:i/>
        </w:rPr>
        <w:t xml:space="preserve">9010 Taiga </w:t>
      </w:r>
      <w:r>
        <w:t>och</w:t>
      </w:r>
      <w:r>
        <w:rPr>
          <w:i/>
        </w:rPr>
        <w:t xml:space="preserve"> 2320 Rissandhedar </w:t>
      </w:r>
      <w:r>
        <w:t>(Nitare &amp; Skogsstyrelsen, 2019; SLU Artdatabanken, 2026).</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2026-10-19</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