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16469-2023 i Hultsfreds kommun</w:t>
      </w:r>
    </w:p>
    <w:p>
      <w:r>
        <w:t>Denna tillsynsbegäran behandlar höga naturvärden i avverkningsanmälan A 16469-2023 i Hultsfreds kommun som inkom 2023-04-10 och omfattar 18,5 ha.</w:t>
      </w:r>
    </w:p>
    <w:p>
      <w:pPr>
        <w:pStyle w:val="Caption"/>
      </w:pPr>
      <w:r>
        <w:drawing>
          <wp:inline xmlns:a="http://schemas.openxmlformats.org/drawingml/2006/main" xmlns:pic="http://schemas.openxmlformats.org/drawingml/2006/picture">
            <wp:extent cx="5486400" cy="3587842"/>
            <wp:docPr id="1" name="Picture 1"/>
            <wp:cNvGraphicFramePr>
              <a:graphicFrameLocks noChangeAspect="1"/>
            </wp:cNvGraphicFramePr>
            <a:graphic>
              <a:graphicData uri="http://schemas.openxmlformats.org/drawingml/2006/picture">
                <pic:pic>
                  <pic:nvPicPr>
                    <pic:cNvPr id="0" name="A 16469-2023 karta.png"/>
                    <pic:cNvPicPr/>
                  </pic:nvPicPr>
                  <pic:blipFill>
                    <a:blip r:embed="rId16"/>
                    <a:stretch>
                      <a:fillRect/>
                    </a:stretch>
                  </pic:blipFill>
                  <pic:spPr>
                    <a:xfrm>
                      <a:off x="0" y="0"/>
                      <a:ext cx="5486400" cy="358784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6376587, E 548901 i SWEREF 99 TM.</w:t>
      </w:r>
    </w:p>
    <w:p>
      <w:r>
        <w:t>I och inom 5 meter från avverkningsanmälan finns fynd av 6 naturvårdsarter, varav 6 är rödlistade: silverblåvinge (VU), smalsprötad bastardsvärmare (VU), gullklöver (NT), mindre purpurmätare (NT), svartvit taggsvamp (NT) och ögonvaxing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Ögonvaxing (NT) </w:t>
      </w:r>
      <w:r>
        <w:t>växer i torr ängs- och naturbetesmark men sällsynt även på mullrik lera i ädellövskog. Det främsta hotet är att örtrika betesmarker överges och får växa igen. Även gödsling kan förstöra lokalerna och skogslokaler kan utplånas genom avverkning. Samtliga lokaler bör skyddas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