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35517-2023 i Hultsfreds kommun</w:t>
      </w:r>
    </w:p>
    <w:p>
      <w:r>
        <w:t>Denna tillsynsbegäran behandlar höga naturvärden i avverkningsanmälan A 35517-2023 i Hultsfreds kommun som inkom 2023-08-09 och omfattar 3,5 ha.</w:t>
      </w:r>
    </w:p>
    <w:p>
      <w:pPr>
        <w:pStyle w:val="Caption"/>
      </w:pPr>
      <w:r>
        <w:drawing>
          <wp:inline xmlns:a="http://schemas.openxmlformats.org/drawingml/2006/main" xmlns:pic="http://schemas.openxmlformats.org/drawingml/2006/picture">
            <wp:extent cx="5486400" cy="5346760"/>
            <wp:docPr id="1" name="Picture 1"/>
            <wp:cNvGraphicFramePr>
              <a:graphicFrameLocks noChangeAspect="1"/>
            </wp:cNvGraphicFramePr>
            <a:graphic>
              <a:graphicData uri="http://schemas.openxmlformats.org/drawingml/2006/picture">
                <pic:pic>
                  <pic:nvPicPr>
                    <pic:cNvPr id="0" name="A 35517-2023 karta.png"/>
                    <pic:cNvPicPr/>
                  </pic:nvPicPr>
                  <pic:blipFill>
                    <a:blip r:embed="rId16"/>
                    <a:stretch>
                      <a:fillRect/>
                    </a:stretch>
                  </pic:blipFill>
                  <pic:spPr>
                    <a:xfrm>
                      <a:off x="0" y="0"/>
                      <a:ext cx="5486400" cy="534676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6345817, E 535466 i SWEREF 99 TM.</w:t>
      </w:r>
    </w:p>
    <w:p>
      <w:r>
        <w:t>I och inom 6 meter från avverkningsanmälan finns fynd av 3 naturvårdsarter, varav 2 är fridlysta, 1 är typisk (T) och 1 är signalart (S): murgröna (S, T), skogsödla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