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26672-2025 i Hultsfreds kommun</w:t>
      </w:r>
    </w:p>
    <w:p>
      <w:r>
        <w:t>Detta dokument behandlar höga naturvärden i avverkningsanmälan A 26672-2025 i Hultsfreds kommun. Denna avverkningsanmälan inkom 2025-06-02 10:01:01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gropticka (NT) och kornig nållav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02192"/>
            <wp:docPr id="1" name="Picture 1"/>
            <wp:cNvGraphicFramePr>
              <a:graphicFrameLocks noChangeAspect="1"/>
            </wp:cNvGraphicFramePr>
            <a:graphic>
              <a:graphicData uri="http://schemas.openxmlformats.org/drawingml/2006/picture">
                <pic:pic>
                  <pic:nvPicPr>
                    <pic:cNvPr id="0" name="A 26672-2025 karta.png"/>
                    <pic:cNvPicPr/>
                  </pic:nvPicPr>
                  <pic:blipFill>
                    <a:blip r:embed="rId16"/>
                    <a:stretch>
                      <a:fillRect/>
                    </a:stretch>
                  </pic:blipFill>
                  <pic:spPr>
                    <a:xfrm>
                      <a:off x="0" y="0"/>
                      <a:ext cx="5486400" cy="4602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6345101, E 536086 i SWEREF 99 TM.</w:t>
      </w:r>
    </w:p>
    <w:p>
      <w:r>
        <w:rPr>
          <w:b/>
        </w:rPr>
        <w:t>Gropticka (NT)</w:t>
      </w:r>
      <w:r>
        <w:t xml:space="preserve"> är en bra signalart som visar på skyddsvärda barrskogar i södra halvan av landet och kan betraktas som en sydlig ”urskogsindikator” eller gammelskogsindikator. Skogsbestånd där gropticka återfinns bör lämnas till fri utveckling. För att bibehålla arten i landet på sikt krävs att fler områden med gammal barrskog skyddas i Götaland och Svealand (SLU Artdatabanken, 2024; Nitare &amp; Skogsstyrelsen, 2019).</w:t>
      </w:r>
    </w:p>
    <w:p>
      <w:r>
        <w:rPr>
          <w:b/>
        </w:rPr>
        <w:t xml:space="preserve">Kornig nållav </w:t>
      </w:r>
      <w:r>
        <w:t>förekommer i skuggiga miljöer med hög luftfuktighet och påträffas främst i gamla skogar eller på gamla träd. Den signalerar höga naturvärden och på lokalerna finns ofta flera ovanliga och rödlistade arter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