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37626-2024 i Hultsfreds kommun</w:t>
      </w:r>
    </w:p>
    <w:p>
      <w:r>
        <w:t>Detta dokument behandlar höga naturvärden i avverkningsanmälan A 37626-2024 i Hultsfreds kommun. Denna avverkningsanmälan inkom 2024-09-06 00:00:00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ryl (EN), knärot (VU, §8), spillkråka (NT, §4), talltita (NT, §4), dropptaggsvamp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9291"/>
            <wp:docPr id="1" name="Picture 1"/>
            <wp:cNvGraphicFramePr>
              <a:graphicFrameLocks noChangeAspect="1"/>
            </wp:cNvGraphicFramePr>
            <a:graphic>
              <a:graphicData uri="http://schemas.openxmlformats.org/drawingml/2006/picture">
                <pic:pic>
                  <pic:nvPicPr>
                    <pic:cNvPr id="0" name="A 37626-2024 karta.png"/>
                    <pic:cNvPicPr/>
                  </pic:nvPicPr>
                  <pic:blipFill>
                    <a:blip r:embed="rId16"/>
                    <a:stretch>
                      <a:fillRect/>
                    </a:stretch>
                  </pic:blipFill>
                  <pic:spPr>
                    <a:xfrm>
                      <a:off x="0" y="0"/>
                      <a:ext cx="5486400" cy="45192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6348647, E 539373 i SWEREF 99 TM.</w:t>
      </w:r>
    </w:p>
    <w:p>
      <w:r>
        <w:rPr>
          <w:b/>
        </w:rPr>
        <w:t>Ryl (EN)</w:t>
      </w:r>
      <w:r>
        <w:t xml:space="preserve"> är en starkt hotad kärlväxt som påträffas i gamla ljusöppna barrskogar, främst tallskogar på väldränerade och kalkrika jordar med tunna humuslager. Lokaler för arten bör undantas från kalavverkning, markberedning och skogsgödsling. På lokaler med riklig förekomst av ryl kan den sällsynta bladparasiten </w:t>
      </w:r>
      <w:r>
        <w:rPr>
          <w:i/>
        </w:rPr>
        <w:t xml:space="preserve">Mycosphaerella chimaphilae </w:t>
      </w:r>
      <w:r>
        <w:t>(EN)</w:t>
      </w:r>
      <w:r>
        <w:rPr>
          <w:i/>
        </w:rPr>
        <w:t xml:space="preserve"> </w:t>
      </w:r>
      <w:r>
        <w:t>påträffas. Parasiten bildar små svarta prickar på rylens blad (SLU Artdatabanken, 2024; Nitare &amp; Skogsstyrelsen, 2019).</w:t>
      </w:r>
    </w:p>
    <w:p>
      <w:pPr>
        <w:pStyle w:val="Heading1"/>
      </w:pPr>
      <w:r>
        <w:t>Fridlysta arter</w:t>
      </w:r>
    </w:p>
    <w:p>
      <w:r>
        <w:t>Följande fridlysta arter har sina livsmiljöer och växtplatser i den avverkningsanmälda skogen: knärot (VU, §8), spillkråka (NT, §4), talltita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1.00 ha med buffertzonerna och får av detta skäl inte avverkas.</w:t>
      </w:r>
    </w:p>
    <w:p>
      <w:pPr>
        <w:pStyle w:val="Caption"/>
      </w:pPr>
      <w:r>
        <w:drawing>
          <wp:inline xmlns:a="http://schemas.openxmlformats.org/drawingml/2006/main" xmlns:pic="http://schemas.openxmlformats.org/drawingml/2006/picture">
            <wp:extent cx="5486400" cy="5355891"/>
            <wp:docPr id="2" name="Picture 2"/>
            <wp:cNvGraphicFramePr>
              <a:graphicFrameLocks noChangeAspect="1"/>
            </wp:cNvGraphicFramePr>
            <a:graphic>
              <a:graphicData uri="http://schemas.openxmlformats.org/drawingml/2006/picture">
                <pic:pic>
                  <pic:nvPicPr>
                    <pic:cNvPr id="0" name="A 37626-2024 karta knärot.png"/>
                    <pic:cNvPicPr/>
                  </pic:nvPicPr>
                  <pic:blipFill>
                    <a:blip r:embed="rId17"/>
                    <a:stretch>
                      <a:fillRect/>
                    </a:stretch>
                  </pic:blipFill>
                  <pic:spPr>
                    <a:xfrm>
                      <a:off x="0" y="0"/>
                      <a:ext cx="5486400" cy="535589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6348647, E 539373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