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1362-2023 i Hultsfreds kommun</w:t>
      </w:r>
    </w:p>
    <w:p>
      <w:r>
        <w:t>Denna tillsynsbegäran behandlar höga naturvärden i samrådsanmälan S 1362-2023 i Hultsfreds kommun som inkom 2023-04-24 och omfattar 818,8 ha.</w:t>
      </w:r>
    </w:p>
    <w:p>
      <w:pPr>
        <w:pStyle w:val="Caption"/>
      </w:pPr>
      <w:r>
        <w:drawing>
          <wp:inline xmlns:a="http://schemas.openxmlformats.org/drawingml/2006/main" xmlns:pic="http://schemas.openxmlformats.org/drawingml/2006/picture">
            <wp:extent cx="5486400" cy="4347642"/>
            <wp:docPr id="1" name="Picture 1"/>
            <wp:cNvGraphicFramePr>
              <a:graphicFrameLocks noChangeAspect="1"/>
            </wp:cNvGraphicFramePr>
            <a:graphic>
              <a:graphicData uri="http://schemas.openxmlformats.org/drawingml/2006/picture">
                <pic:pic>
                  <pic:nvPicPr>
                    <pic:cNvPr id="0" name="S 1362-2023 karta.png"/>
                    <pic:cNvPicPr/>
                  </pic:nvPicPr>
                  <pic:blipFill>
                    <a:blip r:embed="rId16"/>
                    <a:stretch>
                      <a:fillRect/>
                    </a:stretch>
                  </pic:blipFill>
                  <pic:spPr>
                    <a:xfrm>
                      <a:off x="0" y="0"/>
                      <a:ext cx="5486400" cy="4347642"/>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6360747, E 552588 i SWEREF 99 TM.</w:t>
      </w:r>
    </w:p>
    <w:p>
      <w:r>
        <w:t>I och inom 25 meter från samrådsanmälan finns fynd av 27 naturvårdsarter, varav 7 är rödlistade, 19 är fridlysta, 10 är typiska (T) och 6 är signalarter (S): lappuggla (VU, §4), entita (NT, T, §4), fjällig taggsvamp s.str. (NT), järnsparv (NT, §4), mjukdån (NT), spindelört (NT), talltita (NT, §4), blåmossa (S, T), gulnål (S, T), kornknutmossa (S, T), källpraktmossa (S, T), purpurknipprot (S, §8), stor revmossa (S), blåsippa (T, §9), mattlummer (T, §9), nattskärra (T, §4), spillkråka (T, §4), tjäder (T, §4), kungsfågel (§4), orre (§4), skogsduva (§4), sångsvan (§4), vanlig groda (§6), vanlig padda (§6), fläcknycklar (§8), nattviol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Lappuggla (VU, §4)</w:t>
      </w:r>
      <w:r>
        <w:t xml:space="preserve"> är rödlistad som sårbar och upptagen i bilaga 1 EU:s fågeldirektiv. Den hotas av brist på lämpliga risbon till följd av avverkning av äldre skog samt fragmentering av större skogsbestånd och det allvarligaste hotet mot arten utgörs av minskad tillgång på lämplig häckningsmiljö och särskilt på boplatser på grund av skogsbruk. Skyddszoner behöver lämnas kring boplatser vid avverkning eller andra skogliga åtgärder. Som tumregel kan man säga att skyddszonen ska vara så bred (&gt;100 m) att boet inte syns från kanten av beståndet (SLU Artdatabanken, 2024; Skogsstyrelsen, 2016).</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 xml:space="preserve">Källpraktmossa </w:t>
      </w:r>
      <w:r>
        <w:t xml:space="preserve">växer på fuktig eller blöt, näringsrik och ofta mineralrik mark, t.ex. i sumpskogar. Den är en god signalart i södra och mellersta Sverige och förekommer ofta i artrika miljöer med t.ex. kärrkammossa, bågpraktmossa, filtrundmossa och skogshakmossa. Eftersom mängden våtmarker har reducerats kraftigt i södra Sverige under det senaste seklet har förekomsten av källpraktmossa troligen minskat i söder. Källpraktmossa är typisk art för </w:t>
      </w:r>
      <w:r>
        <w:rPr>
          <w:i/>
        </w:rPr>
        <w:t xml:space="preserve">7160 Källor och källkärr, 9750 Svämlövskog </w:t>
      </w:r>
      <w:r>
        <w:t>och</w:t>
      </w:r>
      <w:r>
        <w:rPr>
          <w:i/>
        </w:rPr>
        <w:t xml:space="preserve"> 9080 Lövsumpskog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Mattlummer (§9)</w:t>
      </w:r>
      <w:r>
        <w:t xml:space="preserve"> är typisk art för </w:t>
      </w:r>
      <w:r>
        <w:rPr>
          <w:i/>
        </w:rPr>
        <w:t xml:space="preserve">9010 Taiga </w:t>
      </w:r>
      <w:r>
        <w:t>(SLU Artdatabanken, 2025).</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entita (NT, T, §4), blåmossa (S, T), gulnål (S, T), kornknutmossa (S, T), källpraktmossa (S, T), blåsippa (T, §9), mattlummer (T, §9), nattskärra (T, §4),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Lappuggla – ekologi samt krav på livsmiljön</w:t>
      </w:r>
    </w:p>
    <w:p>
      <w:r>
        <w:t>Lappuggla är rödlistad som sårbar (VU), fridlyst enligt 4§ Artskyddsförordningen och upptagen i bilaga 1 EU:s fågeldirektiv. Den häckar i skogsmark där den i första hand utnyttjar risbon efter ormvråk, bivråk och duvhök. Inom häckningsområdena bör särskild hänsyn tas till de arter som förser lappugglan med bon och biotopskyddsåtgärderna måste därför inriktas på att bibehålla möjligheten för ursprungsarterna (duvhök, ormvråk och bivråk) att upprätthålla sina häckningsplatser med bibehållen bomiljö (SLU Artdatabanken, 2024).</w:t>
      </w:r>
    </w:p>
    <w:p>
      <w:r>
        <w:t>Lappugglan hotas av brist på lämpliga risbon till följd av avverkning av äldre skog samt fragmentering av större skogsbestånd och det allvarligaste hotet mot arten utgörs av minskad tillgång på lämplig häckningsmiljö och särskilt på boplatser på grund av skogsbruk. Skogsområden som under många år utgjort häckningslokaler för lappuggla har utan hänsyn avverkats, i flera fall t.o.m. under häckningsperioden för lappugglan eller dess värdarter. Flera kända häckningslokaler är akut hotade av förestående avverkningar. Antalet individer bedöms vara lägre än gränsvärdet för Sårbar (VU) enligt D-kriteriet. (D1) (SLU Artdatabanken, 2024; Skogsstyrelsen, 2016).</w:t>
      </w:r>
    </w:p>
    <w:p>
      <w:r>
        <w:t>Skyddszoner behöver lämnas kring boplatser vid avverkning eller andra skogliga åtgärder. Som tumregel kan man säga att skyddszonen ska vara så bred (&gt;100 m) att boet inte syns från kanten av beståndet (Skogsstyrelsen, 2016).</w:t>
      </w:r>
    </w:p>
    <w:p>
      <w:pPr>
        <w:pStyle w:val="Heading2"/>
      </w:pPr>
      <w:r>
        <w:t>Referenser – lappuggla</w:t>
      </w:r>
    </w:p>
    <w:p>
      <w:r>
        <w:t xml:space="preserve">Skogsstyrelsen, 2016. </w:t>
      </w:r>
      <w:r>
        <w:rPr>
          <w:i/>
        </w:rPr>
        <w:t xml:space="preserve">Vägledning för hänsyn till lappuggla. </w:t>
      </w:r>
      <w:r>
        <w:t>Vägledningar och kunskapsstöd artskydd – Skogsstyrelsen</w:t>
      </w:r>
    </w:p>
    <w:p>
      <w:r>
        <w:t xml:space="preserve">SLU Artdatabanken, 2024. </w:t>
      </w:r>
      <w:r>
        <w:rPr>
          <w:i/>
        </w:rPr>
        <w:t xml:space="preserve">Artfaktablad. Naturvård – artfakta. </w:t>
      </w:r>
      <w:r>
        <w:t>SLU Artdatabanken, Uppsala</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