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38673-2020 i Hultsfreds kommun</w:t>
      </w:r>
    </w:p>
    <w:p>
      <w:r>
        <w:t>Detta dokument behandlar höga naturvärden i avverkningsanmälan A 38673-2020 i Hultsfreds kommun. Denna avverkningsanmälan inkom 2020-08-18 och omfattar 2,7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fällmossa (S), grov fjädermossa (S), platt fjädermossa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19842"/>
            <wp:docPr id="1" name="Picture 1"/>
            <wp:cNvGraphicFramePr>
              <a:graphicFrameLocks noChangeAspect="1"/>
            </wp:cNvGraphicFramePr>
            <a:graphic>
              <a:graphicData uri="http://schemas.openxmlformats.org/drawingml/2006/picture">
                <pic:pic>
                  <pic:nvPicPr>
                    <pic:cNvPr id="0" name="A 38673-2020 karta.png"/>
                    <pic:cNvPicPr/>
                  </pic:nvPicPr>
                  <pic:blipFill>
                    <a:blip r:embed="rId16"/>
                    <a:stretch>
                      <a:fillRect/>
                    </a:stretch>
                  </pic:blipFill>
                  <pic:spPr>
                    <a:xfrm>
                      <a:off x="0" y="0"/>
                      <a:ext cx="5486400" cy="33198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6348109, E 559407 i SWEREF 99 TM.</w:t>
      </w:r>
    </w:p>
    <w:p>
      <w:r>
        <w:rPr>
          <w:b/>
        </w:rPr>
        <w:t>Fällmossa</w:t>
      </w:r>
      <w:r>
        <w:t xml:space="preserve"> indikerar i stort sett alltid områden med höga naturvärden, skog med lång kontinuitet, gamla träd, hög luftfuktighet och stabila förhållanden. Sporkapslar finnar man enbart på extra skyddsvärda lokaler (Nitare &amp; Skogsstyrelsen, 2019).</w:t>
      </w:r>
    </w:p>
    <w:p>
      <w:r>
        <w:rPr>
          <w:b/>
        </w:rPr>
        <w:t xml:space="preserve">Grov fjädermossa </w:t>
      </w:r>
      <w:r>
        <w:t>påträffas i gammal ädellövskog och på kalkrika bergväggar i äldre barrskog. Arten är placerad högst upp i Skogsstyrelsens värdepyramid för bedömning av skog med höga naturvärden och visar på lokaler som haft lång trädkontinuitet och stabilt mikroklimat (Nitare &amp; Skogsstyrelsen, 2019).</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2025-05-19</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