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45301-2023 i Hultsfreds kommun</w:t>
      </w:r>
    </w:p>
    <w:p>
      <w:r>
        <w:t>Detta klagomål behandlar höga naturvärden i avverkningsanmälan A 45301-2023 i Hultsfreds kommun som inkom 2023-09-22 och omfattar 2,0 ha.</w:t>
      </w:r>
    </w:p>
    <w:p>
      <w:pPr>
        <w:pStyle w:val="Caption"/>
      </w:pPr>
      <w:r>
        <w:drawing>
          <wp:inline xmlns:a="http://schemas.openxmlformats.org/drawingml/2006/main" xmlns:pic="http://schemas.openxmlformats.org/drawingml/2006/picture">
            <wp:extent cx="5309799" cy="5724000"/>
            <wp:docPr id="1" name="Picture 1"/>
            <wp:cNvGraphicFramePr>
              <a:graphicFrameLocks noChangeAspect="1"/>
            </wp:cNvGraphicFramePr>
            <a:graphic>
              <a:graphicData uri="http://schemas.openxmlformats.org/drawingml/2006/picture">
                <pic:pic>
                  <pic:nvPicPr>
                    <pic:cNvPr id="0" name="A 45301-2023 karta.png"/>
                    <pic:cNvPicPr/>
                  </pic:nvPicPr>
                  <pic:blipFill>
                    <a:blip r:embed="rId16"/>
                    <a:stretch>
                      <a:fillRect/>
                    </a:stretch>
                  </pic:blipFill>
                  <pic:spPr>
                    <a:xfrm>
                      <a:off x="0" y="0"/>
                      <a:ext cx="5309799" cy="5724000"/>
                    </a:xfrm>
                    <a:prstGeom prst="rect"/>
                  </pic:spPr>
                </pic:pic>
              </a:graphicData>
            </a:graphic>
          </wp:inline>
        </w:drawing>
      </w:r>
    </w:p>
    <w:p>
      <w:pPr>
        <w:pStyle w:val="Caption"/>
        <w:spacing w:after="240"/>
      </w:pPr>
      <w:r>
        <w:t>Figur 1. Fyndplatser för naturvårdsarter i och inom 21 meter från avverkningsanmälan. Markörer utan svart kant är placerade på fyndplatsen. Markörer med svart kant är placerade vid sidan av fyndplatsen och har ett svart streck som visar fyndplatsens exakta position. Kartans mittpunktskoordinat är N 6348583, E 537908 i SWEREF 99 TM.</w:t>
      </w:r>
    </w:p>
    <w:p>
      <w:r>
        <w:t>I och inom 21 meter från avverkningsanmälan finns fynd av 4 naturvårdsarter, varav 2 är rödlistade, 1 är fridlyst, 4 är typiska (T) och 2 är signalarter (S): knärot (VU, T, §8), vedtrappmossa (NT, T), fällmossa (S, T) och stubbspretmossa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0.65 ha med buffertzonerna och får av detta skäl inte avverkas.</w:t>
      </w:r>
    </w:p>
    <w:p>
      <w:pPr>
        <w:pStyle w:val="Caption"/>
      </w:pPr>
      <w:r>
        <w:drawing>
          <wp:inline xmlns:a="http://schemas.openxmlformats.org/drawingml/2006/main" xmlns:pic="http://schemas.openxmlformats.org/drawingml/2006/picture">
            <wp:extent cx="5486400" cy="5676821"/>
            <wp:docPr id="2" name="Picture 2"/>
            <wp:cNvGraphicFramePr>
              <a:graphicFrameLocks noChangeAspect="1"/>
            </wp:cNvGraphicFramePr>
            <a:graphic>
              <a:graphicData uri="http://schemas.openxmlformats.org/drawingml/2006/picture">
                <pic:pic>
                  <pic:nvPicPr>
                    <pic:cNvPr id="0" name="A 45301-2023 karta knärot.png"/>
                    <pic:cNvPicPr/>
                  </pic:nvPicPr>
                  <pic:blipFill>
                    <a:blip r:embed="rId17"/>
                    <a:stretch>
                      <a:fillRect/>
                    </a:stretch>
                  </pic:blipFill>
                  <pic:spPr>
                    <a:xfrm>
                      <a:off x="0" y="0"/>
                      <a:ext cx="5486400" cy="5676821"/>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6348583, E 537908 i SWEREF 99 TM.</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Fällmossa</w:t>
      </w:r>
      <w:r>
        <w:t xml:space="preserve"> indikerar i stort sett alltid områden med höga naturvärden, skog med lång kontinuitet, gamla träd, hög luftfuktighet och stabila förhållanden. Sporkapslar finnar man enbart på extra skyddsvärda lokaler. Fällmossa är typisk art för </w:t>
      </w:r>
      <w:r>
        <w:rPr>
          <w:i/>
        </w:rPr>
        <w:t xml:space="preserve">9020 Nordlig ädellövskog, 9110 Näringsfattig bokskog, 9130 Näringsrik bokskog, 9160 Näringsrik ekskog, 9180 Ädellövskog i branter </w:t>
      </w:r>
      <w:r>
        <w:t>och</w:t>
      </w:r>
      <w:r>
        <w:rPr>
          <w:i/>
        </w:rPr>
        <w:t xml:space="preserve"> 9190 Näringsfattig ekskog</w:t>
      </w:r>
      <w:r>
        <w:t xml:space="preserve"> (SLU Artdatabanken, 2024; Nitare &amp; Skogsstyrelsen, 2019).</w:t>
      </w:r>
    </w:p>
    <w:p>
      <w:r>
        <w:rPr>
          <w:b/>
        </w:rPr>
        <w:t>Stubbspretmossa</w:t>
      </w:r>
      <w:r>
        <w:t xml:space="preserve"> växer på ved i rika löv- och barrskogar med relativt hög luftfuktighet och indikerar fuktiga skogsmiljöer med gott om murken ved och ofta höga naturvärden. Stubbspretmossa är typisk art för </w:t>
      </w:r>
      <w:r>
        <w:rPr>
          <w:i/>
        </w:rPr>
        <w:t>9020 Nordlig ädellövskog</w:t>
      </w:r>
      <w:r>
        <w:t xml:space="preserve">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Övriga Aktiebolag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